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36EF" w14:textId="66D344C4" w:rsidR="00676FE0" w:rsidRDefault="00676FE0"/>
    <w:p w14:paraId="5201FA27" w14:textId="77777777" w:rsidR="00676FE0" w:rsidRDefault="00676FE0"/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F6583" w:rsidRPr="00777E08" w14:paraId="167942E5" w14:textId="77777777" w:rsidTr="00FA6496">
        <w:trPr>
          <w:trHeight w:val="1418"/>
        </w:trPr>
        <w:tc>
          <w:tcPr>
            <w:tcW w:w="9747" w:type="dxa"/>
            <w:shd w:val="clear" w:color="auto" w:fill="auto"/>
          </w:tcPr>
          <w:p w14:paraId="55D639EE" w14:textId="77777777" w:rsidR="000D220A" w:rsidRPr="00777E08" w:rsidRDefault="000D220A" w:rsidP="00676FE0">
            <w:pPr>
              <w:pStyle w:val="af0"/>
              <w:rPr>
                <w:sz w:val="26"/>
                <w:szCs w:val="26"/>
              </w:rPr>
            </w:pPr>
          </w:p>
        </w:tc>
      </w:tr>
    </w:tbl>
    <w:p w14:paraId="65810B2D" w14:textId="77777777" w:rsidR="00085D29" w:rsidRPr="00777E08" w:rsidRDefault="00085D29" w:rsidP="00246638">
      <w:pPr>
        <w:keepNext/>
        <w:keepLines/>
        <w:jc w:val="center"/>
        <w:rPr>
          <w:bCs/>
          <w:sz w:val="26"/>
          <w:szCs w:val="26"/>
        </w:rPr>
      </w:pPr>
    </w:p>
    <w:p w14:paraId="6187B2AB" w14:textId="4BEEEE83" w:rsidR="001F3F68" w:rsidRPr="00777E08" w:rsidRDefault="006D7451" w:rsidP="00D74C65">
      <w:pPr>
        <w:keepNext/>
        <w:keepLines/>
        <w:jc w:val="center"/>
        <w:rPr>
          <w:bCs/>
          <w:sz w:val="26"/>
          <w:szCs w:val="26"/>
        </w:rPr>
      </w:pPr>
      <w:r w:rsidRPr="00777E08">
        <w:rPr>
          <w:bCs/>
          <w:sz w:val="26"/>
          <w:szCs w:val="26"/>
        </w:rPr>
        <w:t>Запрос ценовых предложений</w:t>
      </w:r>
      <w:r w:rsidR="00A742A0" w:rsidRPr="00777E08">
        <w:rPr>
          <w:bCs/>
          <w:sz w:val="26"/>
          <w:szCs w:val="26"/>
        </w:rPr>
        <w:t xml:space="preserve"> </w:t>
      </w:r>
      <w:r w:rsidRPr="00777E08">
        <w:rPr>
          <w:bCs/>
          <w:sz w:val="26"/>
          <w:szCs w:val="26"/>
        </w:rPr>
        <w:t>на закупку</w:t>
      </w:r>
    </w:p>
    <w:p w14:paraId="2840F34E" w14:textId="22BE5A2A" w:rsidR="00D74C65" w:rsidRPr="00777E08" w:rsidRDefault="009F4AC8" w:rsidP="00D74C65">
      <w:pPr>
        <w:keepNext/>
        <w:keepLines/>
        <w:jc w:val="center"/>
        <w:rPr>
          <w:bCs/>
          <w:sz w:val="26"/>
          <w:szCs w:val="26"/>
        </w:rPr>
      </w:pPr>
      <w:r w:rsidRPr="00777E08">
        <w:rPr>
          <w:bCs/>
          <w:sz w:val="26"/>
          <w:szCs w:val="26"/>
        </w:rPr>
        <w:t>фильтров рукавных</w:t>
      </w:r>
    </w:p>
    <w:p w14:paraId="0AC04ED7" w14:textId="77777777" w:rsidR="005455B6" w:rsidRPr="00777E08" w:rsidRDefault="005455B6" w:rsidP="00D74C65">
      <w:pPr>
        <w:keepNext/>
        <w:keepLines/>
        <w:jc w:val="center"/>
        <w:rPr>
          <w:bCs/>
          <w:sz w:val="26"/>
          <w:szCs w:val="2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93"/>
        <w:gridCol w:w="1384"/>
        <w:gridCol w:w="850"/>
        <w:gridCol w:w="5250"/>
      </w:tblGrid>
      <w:tr w:rsidR="007B1F9D" w:rsidRPr="00777E08" w14:paraId="17E5C0CC" w14:textId="77777777" w:rsidTr="00C96D5A">
        <w:trPr>
          <w:trHeight w:val="427"/>
          <w:jc w:val="center"/>
        </w:trPr>
        <w:tc>
          <w:tcPr>
            <w:tcW w:w="9923" w:type="dxa"/>
            <w:gridSpan w:val="5"/>
            <w:vAlign w:val="center"/>
          </w:tcPr>
          <w:p w14:paraId="77EE9C0E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Сведения о заказчике:</w:t>
            </w:r>
          </w:p>
        </w:tc>
      </w:tr>
      <w:tr w:rsidR="007B1F9D" w:rsidRPr="00777E08" w14:paraId="188AA61D" w14:textId="77777777" w:rsidTr="00C96D5A">
        <w:trPr>
          <w:trHeight w:val="348"/>
          <w:jc w:val="center"/>
        </w:trPr>
        <w:tc>
          <w:tcPr>
            <w:tcW w:w="2439" w:type="dxa"/>
            <w:gridSpan w:val="2"/>
            <w:vAlign w:val="center"/>
          </w:tcPr>
          <w:p w14:paraId="64220163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Полное наименование </w:t>
            </w:r>
          </w:p>
          <w:p w14:paraId="079C2469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и юридический адрес  </w:t>
            </w:r>
          </w:p>
          <w:p w14:paraId="0C2D83C6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заказчика</w:t>
            </w:r>
          </w:p>
        </w:tc>
        <w:tc>
          <w:tcPr>
            <w:tcW w:w="7484" w:type="dxa"/>
            <w:gridSpan w:val="3"/>
            <w:vAlign w:val="center"/>
          </w:tcPr>
          <w:p w14:paraId="4924FC2D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Открытое акционерное общество «Беларуськалий», 223710, </w:t>
            </w:r>
          </w:p>
          <w:p w14:paraId="2AEB1B7F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Минская обл., г.</w:t>
            </w:r>
            <w:r w:rsidR="00574C16" w:rsidRPr="00777E08">
              <w:rPr>
                <w:bCs/>
                <w:sz w:val="26"/>
                <w:szCs w:val="26"/>
              </w:rPr>
              <w:t xml:space="preserve"> </w:t>
            </w:r>
            <w:r w:rsidRPr="00777E08">
              <w:rPr>
                <w:bCs/>
                <w:sz w:val="26"/>
                <w:szCs w:val="26"/>
              </w:rPr>
              <w:t>Солигорск, ул.</w:t>
            </w:r>
            <w:r w:rsidR="00574C16" w:rsidRPr="00777E08">
              <w:rPr>
                <w:bCs/>
                <w:sz w:val="26"/>
                <w:szCs w:val="26"/>
              </w:rPr>
              <w:t xml:space="preserve"> </w:t>
            </w:r>
            <w:r w:rsidRPr="00777E08">
              <w:rPr>
                <w:bCs/>
                <w:sz w:val="26"/>
                <w:szCs w:val="26"/>
              </w:rPr>
              <w:t>Коржа, 5.</w:t>
            </w:r>
          </w:p>
        </w:tc>
      </w:tr>
      <w:tr w:rsidR="007B1F9D" w:rsidRPr="00777E08" w14:paraId="41E9645F" w14:textId="77777777" w:rsidTr="00C96D5A">
        <w:trPr>
          <w:trHeight w:val="1425"/>
          <w:jc w:val="center"/>
        </w:trPr>
        <w:tc>
          <w:tcPr>
            <w:tcW w:w="2439" w:type="dxa"/>
            <w:gridSpan w:val="2"/>
            <w:tcBorders>
              <w:bottom w:val="nil"/>
            </w:tcBorders>
            <w:vAlign w:val="center"/>
          </w:tcPr>
          <w:p w14:paraId="1A136B3F" w14:textId="77777777" w:rsidR="006D7451" w:rsidRPr="00777E08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Контактные лица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0A477DC8" w14:textId="77777777" w:rsidR="00555C27" w:rsidRPr="00777E08" w:rsidRDefault="006D7451" w:rsidP="007B1F9D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По вопросам закупки: </w:t>
            </w:r>
          </w:p>
          <w:p w14:paraId="76061904" w14:textId="2F701896" w:rsidR="0013654C" w:rsidRPr="00777E08" w:rsidRDefault="009F4AC8" w:rsidP="007B1F9D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инженер</w:t>
            </w:r>
            <w:r w:rsidR="001D2EC7" w:rsidRPr="00777E08">
              <w:rPr>
                <w:bCs/>
                <w:sz w:val="26"/>
                <w:szCs w:val="26"/>
              </w:rPr>
              <w:t xml:space="preserve"> бюро </w:t>
            </w:r>
            <w:r w:rsidR="0013654C" w:rsidRPr="00777E08">
              <w:rPr>
                <w:bCs/>
                <w:sz w:val="26"/>
                <w:szCs w:val="26"/>
              </w:rPr>
              <w:t>з/ч обогатительного оборудования отдела запасных частей УМТО</w:t>
            </w:r>
            <w:r w:rsidR="00555C27" w:rsidRPr="00777E08">
              <w:rPr>
                <w:bCs/>
                <w:sz w:val="26"/>
                <w:szCs w:val="26"/>
              </w:rPr>
              <w:t xml:space="preserve">: </w:t>
            </w:r>
            <w:r w:rsidR="0013654C" w:rsidRPr="00777E08">
              <w:rPr>
                <w:bCs/>
                <w:sz w:val="26"/>
                <w:szCs w:val="26"/>
              </w:rPr>
              <w:t>+375174298</w:t>
            </w:r>
            <w:r w:rsidRPr="00777E08">
              <w:rPr>
                <w:bCs/>
                <w:sz w:val="26"/>
                <w:szCs w:val="26"/>
              </w:rPr>
              <w:t>877</w:t>
            </w:r>
            <w:r w:rsidR="00555C27" w:rsidRPr="00777E08">
              <w:rPr>
                <w:bCs/>
                <w:sz w:val="26"/>
                <w:szCs w:val="26"/>
              </w:rPr>
              <w:t>;</w:t>
            </w:r>
          </w:p>
          <w:p w14:paraId="1C26116B" w14:textId="77777777" w:rsidR="00555C27" w:rsidRPr="00777E08" w:rsidRDefault="00555C27" w:rsidP="007B1F9D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зам. </w:t>
            </w:r>
            <w:r w:rsidR="006D7451" w:rsidRPr="00777E08">
              <w:rPr>
                <w:bCs/>
                <w:sz w:val="26"/>
                <w:szCs w:val="26"/>
              </w:rPr>
              <w:t>начальник</w:t>
            </w:r>
            <w:r w:rsidRPr="00777E08">
              <w:rPr>
                <w:bCs/>
                <w:sz w:val="26"/>
                <w:szCs w:val="26"/>
              </w:rPr>
              <w:t>а</w:t>
            </w:r>
            <w:r w:rsidR="00D716B9" w:rsidRPr="00777E08">
              <w:rPr>
                <w:bCs/>
                <w:sz w:val="26"/>
                <w:szCs w:val="26"/>
              </w:rPr>
              <w:t xml:space="preserve"> </w:t>
            </w:r>
            <w:r w:rsidR="006D7451" w:rsidRPr="00777E08">
              <w:rPr>
                <w:bCs/>
                <w:sz w:val="26"/>
                <w:szCs w:val="26"/>
              </w:rPr>
              <w:t>отдела запасных частей управления МТО</w:t>
            </w:r>
            <w:r w:rsidRPr="00777E08">
              <w:rPr>
                <w:bCs/>
                <w:sz w:val="26"/>
                <w:szCs w:val="26"/>
              </w:rPr>
              <w:t xml:space="preserve">: </w:t>
            </w:r>
          </w:p>
          <w:p w14:paraId="62FA9314" w14:textId="5C017974" w:rsidR="006D7451" w:rsidRPr="00777E08" w:rsidRDefault="006D7451" w:rsidP="007B1F9D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+ 3751742987</w:t>
            </w:r>
            <w:r w:rsidR="00811595" w:rsidRPr="00777E08">
              <w:rPr>
                <w:bCs/>
                <w:sz w:val="26"/>
                <w:szCs w:val="26"/>
              </w:rPr>
              <w:t>84</w:t>
            </w:r>
            <w:r w:rsidR="00536958" w:rsidRPr="00777E08">
              <w:rPr>
                <w:bCs/>
                <w:sz w:val="26"/>
                <w:szCs w:val="26"/>
              </w:rPr>
              <w:t>.</w:t>
            </w:r>
          </w:p>
        </w:tc>
      </w:tr>
      <w:tr w:rsidR="000B464B" w:rsidRPr="00F56D7F" w14:paraId="054E6115" w14:textId="77777777" w:rsidTr="00C96D5A">
        <w:trPr>
          <w:trHeight w:val="77"/>
          <w:jc w:val="center"/>
        </w:trPr>
        <w:tc>
          <w:tcPr>
            <w:tcW w:w="9923" w:type="dxa"/>
            <w:gridSpan w:val="5"/>
            <w:tcBorders>
              <w:bottom w:val="nil"/>
            </w:tcBorders>
            <w:vAlign w:val="center"/>
          </w:tcPr>
          <w:p w14:paraId="00A64269" w14:textId="0C5B5381" w:rsidR="000B464B" w:rsidRPr="00F56D7F" w:rsidRDefault="000B464B" w:rsidP="007B1F9D">
            <w:pPr>
              <w:widowControl w:val="0"/>
              <w:jc w:val="both"/>
              <w:rPr>
                <w:bCs/>
                <w:sz w:val="27"/>
                <w:szCs w:val="27"/>
              </w:rPr>
            </w:pPr>
            <w:r w:rsidRPr="00F56D7F">
              <w:rPr>
                <w:sz w:val="27"/>
                <w:szCs w:val="27"/>
              </w:rPr>
              <w:t>Сведения о предмете закупки</w:t>
            </w:r>
          </w:p>
        </w:tc>
      </w:tr>
      <w:tr w:rsidR="007B1F9D" w:rsidRPr="00E95312" w14:paraId="11242D4B" w14:textId="77777777" w:rsidTr="003A11BD">
        <w:trPr>
          <w:trHeight w:val="516"/>
          <w:jc w:val="center"/>
        </w:trPr>
        <w:tc>
          <w:tcPr>
            <w:tcW w:w="846" w:type="dxa"/>
            <w:tcBorders>
              <w:bottom w:val="nil"/>
            </w:tcBorders>
            <w:vAlign w:val="center"/>
          </w:tcPr>
          <w:p w14:paraId="0C260D87" w14:textId="3BEF78A4" w:rsidR="00B6618C" w:rsidRPr="003A11BD" w:rsidRDefault="00B6618C" w:rsidP="007B1F9D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№</w:t>
            </w:r>
            <w:r w:rsidRPr="003A11BD">
              <w:rPr>
                <w:bCs/>
                <w:sz w:val="25"/>
                <w:szCs w:val="25"/>
                <w:lang w:val="en-US"/>
              </w:rPr>
              <w:t xml:space="preserve"> </w:t>
            </w:r>
            <w:r w:rsidRPr="003A11BD">
              <w:rPr>
                <w:bCs/>
                <w:sz w:val="25"/>
                <w:szCs w:val="25"/>
              </w:rPr>
              <w:t>лота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2AE1B4DC" w14:textId="172D12FC" w:rsidR="00B6618C" w:rsidRPr="003A11BD" w:rsidRDefault="00B6618C" w:rsidP="007B1F9D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Наименование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FE413F8" w14:textId="62E656BB" w:rsidR="00B6618C" w:rsidRPr="003A11BD" w:rsidRDefault="00B6618C" w:rsidP="007B1F9D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 xml:space="preserve">Кол-во, </w:t>
            </w:r>
            <w:r w:rsidR="009F4AC8" w:rsidRPr="003A11BD">
              <w:rPr>
                <w:bCs/>
                <w:sz w:val="25"/>
                <w:szCs w:val="25"/>
              </w:rPr>
              <w:t>шт.</w:t>
            </w:r>
          </w:p>
        </w:tc>
        <w:tc>
          <w:tcPr>
            <w:tcW w:w="5250" w:type="dxa"/>
            <w:tcBorders>
              <w:bottom w:val="nil"/>
            </w:tcBorders>
            <w:shd w:val="clear" w:color="auto" w:fill="auto"/>
            <w:vAlign w:val="center"/>
          </w:tcPr>
          <w:p w14:paraId="5BDEE5D6" w14:textId="1D751C2A" w:rsidR="00B6618C" w:rsidRPr="003A11BD" w:rsidRDefault="00B6618C" w:rsidP="007B1F9D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Технические требования</w:t>
            </w:r>
          </w:p>
        </w:tc>
      </w:tr>
      <w:tr w:rsidR="009021B6" w:rsidRPr="00E95312" w14:paraId="171ACFBA" w14:textId="77777777" w:rsidTr="003A11BD">
        <w:trPr>
          <w:trHeight w:val="45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3681026" w14:textId="401027EF" w:rsidR="009021B6" w:rsidRPr="003A11BD" w:rsidRDefault="009021B6" w:rsidP="009021B6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019DE5E" w14:textId="77777777" w:rsidR="00CC0FAF" w:rsidRDefault="009021B6" w:rsidP="009021B6">
            <w:pPr>
              <w:widowControl w:val="0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 xml:space="preserve">Фильтр рукавный </w:t>
            </w:r>
          </w:p>
          <w:p w14:paraId="7A4072A5" w14:textId="5B5467AA" w:rsidR="009021B6" w:rsidRPr="003A11BD" w:rsidRDefault="009021B6" w:rsidP="009021B6">
            <w:pPr>
              <w:widowControl w:val="0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>194 Х 2080 мм, 3,94 м</w:t>
            </w:r>
            <w:r w:rsidRPr="003A11BD">
              <w:rPr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7B1310" w14:textId="6EDC0EC0" w:rsidR="009021B6" w:rsidRPr="003A11BD" w:rsidRDefault="009021B6" w:rsidP="009021B6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1 200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CF29F" w14:textId="77777777" w:rsidR="009021B6" w:rsidRPr="003A11BD" w:rsidRDefault="009021B6" w:rsidP="009021B6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3A11BD">
              <w:rPr>
                <w:rFonts w:eastAsiaTheme="minorHAnsi"/>
                <w:sz w:val="25"/>
                <w:szCs w:val="25"/>
                <w:lang w:eastAsia="en-US"/>
              </w:rPr>
              <w:t xml:space="preserve">Тех. задание </w:t>
            </w:r>
          </w:p>
          <w:p w14:paraId="2D970EAD" w14:textId="0258DA99" w:rsidR="009021B6" w:rsidRPr="003A11BD" w:rsidRDefault="009021B6" w:rsidP="009021B6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3A11BD">
              <w:rPr>
                <w:rFonts w:eastAsia="Calibri"/>
                <w:sz w:val="25"/>
                <w:szCs w:val="25"/>
              </w:rPr>
              <w:t>№ 37/01-18/1679</w:t>
            </w:r>
            <w:r w:rsidRPr="003A11BD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Pr="003A11BD">
              <w:rPr>
                <w:rFonts w:eastAsia="Calibri"/>
                <w:sz w:val="25"/>
                <w:szCs w:val="25"/>
              </w:rPr>
              <w:t>от 30.03.2026</w:t>
            </w:r>
          </w:p>
        </w:tc>
      </w:tr>
      <w:tr w:rsidR="009021B6" w:rsidRPr="00E95312" w14:paraId="488CF6AB" w14:textId="77777777" w:rsidTr="003A11BD">
        <w:trPr>
          <w:trHeight w:val="630"/>
          <w:jc w:val="center"/>
        </w:trPr>
        <w:tc>
          <w:tcPr>
            <w:tcW w:w="846" w:type="dxa"/>
            <w:tcBorders>
              <w:bottom w:val="nil"/>
            </w:tcBorders>
            <w:vAlign w:val="center"/>
          </w:tcPr>
          <w:p w14:paraId="7C8DF380" w14:textId="04CF2BDC" w:rsidR="009021B6" w:rsidRPr="003A11BD" w:rsidRDefault="009021B6" w:rsidP="009021B6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7E9E8801" w14:textId="77777777" w:rsidR="009021B6" w:rsidRPr="003A11BD" w:rsidRDefault="009021B6" w:rsidP="009021B6">
            <w:pPr>
              <w:widowControl w:val="0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 xml:space="preserve">Фильтр рукавный </w:t>
            </w:r>
          </w:p>
          <w:p w14:paraId="6CC35FD2" w14:textId="55D24499" w:rsidR="009021B6" w:rsidRPr="003A11BD" w:rsidRDefault="009021B6" w:rsidP="009021B6">
            <w:pPr>
              <w:widowControl w:val="0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>ФР-ПЭ-180/810-Дст-ПлК (РР 25 мкм)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E3FF1E7" w14:textId="0657A03F" w:rsidR="009021B6" w:rsidRPr="003A11BD" w:rsidRDefault="009021B6" w:rsidP="009021B6">
            <w:pPr>
              <w:widowControl w:val="0"/>
              <w:jc w:val="center"/>
              <w:rPr>
                <w:bCs/>
                <w:sz w:val="25"/>
                <w:szCs w:val="25"/>
              </w:rPr>
            </w:pPr>
            <w:r w:rsidRPr="003A11BD">
              <w:rPr>
                <w:bCs/>
                <w:sz w:val="25"/>
                <w:szCs w:val="25"/>
              </w:rPr>
              <w:t>1 200</w:t>
            </w:r>
          </w:p>
        </w:tc>
        <w:tc>
          <w:tcPr>
            <w:tcW w:w="5250" w:type="dxa"/>
            <w:tcBorders>
              <w:bottom w:val="nil"/>
            </w:tcBorders>
            <w:shd w:val="clear" w:color="auto" w:fill="auto"/>
            <w:vAlign w:val="center"/>
          </w:tcPr>
          <w:p w14:paraId="2F456AFD" w14:textId="6AAB354D" w:rsidR="009021B6" w:rsidRPr="003A11BD" w:rsidRDefault="009021B6" w:rsidP="009021B6">
            <w:pPr>
              <w:jc w:val="center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>наружный диаметр – 180 мм;</w:t>
            </w:r>
          </w:p>
          <w:p w14:paraId="152626F5" w14:textId="4528AF74" w:rsidR="009021B6" w:rsidRPr="003A11BD" w:rsidRDefault="009021B6" w:rsidP="009021B6">
            <w:pPr>
              <w:jc w:val="center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>длина – 810 мм;</w:t>
            </w:r>
          </w:p>
          <w:p w14:paraId="73B13D92" w14:textId="44DFBEDF" w:rsidR="009021B6" w:rsidRPr="003A11BD" w:rsidRDefault="009021B6" w:rsidP="009021B6">
            <w:pPr>
              <w:jc w:val="center"/>
              <w:rPr>
                <w:sz w:val="25"/>
                <w:szCs w:val="25"/>
              </w:rPr>
            </w:pPr>
            <w:r w:rsidRPr="003A11BD">
              <w:rPr>
                <w:sz w:val="25"/>
                <w:szCs w:val="25"/>
              </w:rPr>
              <w:t>тонкость фильтрации – 25 мкм.</w:t>
            </w:r>
          </w:p>
          <w:p w14:paraId="162FF314" w14:textId="71940F8F" w:rsidR="009021B6" w:rsidRPr="003A11BD" w:rsidRDefault="009021B6" w:rsidP="009021B6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3A11BD">
              <w:rPr>
                <w:sz w:val="25"/>
                <w:szCs w:val="25"/>
              </w:rPr>
              <w:t xml:space="preserve">Применение: насосная станция </w:t>
            </w:r>
            <w:r w:rsidRPr="003A11BD">
              <w:rPr>
                <w:sz w:val="25"/>
                <w:szCs w:val="25"/>
                <w:lang w:val="en-US"/>
              </w:rPr>
              <w:t>EHP</w:t>
            </w:r>
            <w:r w:rsidRPr="003A11BD">
              <w:rPr>
                <w:sz w:val="25"/>
                <w:szCs w:val="25"/>
              </w:rPr>
              <w:t>-3</w:t>
            </w:r>
            <w:r w:rsidRPr="003A11BD">
              <w:rPr>
                <w:sz w:val="25"/>
                <w:szCs w:val="25"/>
                <w:lang w:val="en-US"/>
              </w:rPr>
              <w:t>K</w:t>
            </w:r>
            <w:r w:rsidRPr="003A11BD">
              <w:rPr>
                <w:sz w:val="25"/>
                <w:szCs w:val="25"/>
              </w:rPr>
              <w:t xml:space="preserve"> 125/50</w:t>
            </w:r>
          </w:p>
        </w:tc>
      </w:tr>
      <w:tr w:rsidR="009021B6" w:rsidRPr="00777E08" w14:paraId="3AD7377C" w14:textId="77777777" w:rsidTr="00C96D5A">
        <w:tblPrEx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446" w14:textId="2E883011" w:rsidR="009021B6" w:rsidRPr="00777E08" w:rsidRDefault="009021B6" w:rsidP="009021B6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Заказчик, при наличии необходимости, в ходе проведения процедуры закупки имеет право увеличить или уменьшить количество (объем) закупки не более чем на 100%; увеличить более чем на 100% количество (объем) закупки при  наличии письменного согласования такого увеличения с генеральным директором, либо с заместителем генерального директора по материально-техническому обеспечению - начальником управления МТО по закупкам УМТО, если увеличение более чем на 100% составляет 500 и менее базовых величин.</w:t>
            </w:r>
          </w:p>
        </w:tc>
      </w:tr>
      <w:tr w:rsidR="009021B6" w:rsidRPr="00777E08" w14:paraId="5348EDC1" w14:textId="77777777" w:rsidTr="00C96D5A">
        <w:tblPrEx>
          <w:tblLook w:val="01E0" w:firstRow="1" w:lastRow="1" w:firstColumn="1" w:lastColumn="1" w:noHBand="0" w:noVBand="0"/>
        </w:tblPrEx>
        <w:trPr>
          <w:trHeight w:val="272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862C" w14:textId="77F6E666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Требования к предмету закупки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F18" w14:textId="004C6789" w:rsidR="0028178E" w:rsidRPr="00777E08" w:rsidRDefault="0028178E" w:rsidP="009021B6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соответствие технических характеристик предлагаемого товара заявленному (в т.ч. тех. заданию);</w:t>
            </w:r>
          </w:p>
          <w:p w14:paraId="309488D7" w14:textId="3D206B4A" w:rsidR="009021B6" w:rsidRPr="00777E08" w:rsidRDefault="009021B6" w:rsidP="009021B6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 соответствие техническим условиям завода-изготовителя;</w:t>
            </w:r>
          </w:p>
          <w:p w14:paraId="0E6EFF68" w14:textId="0E2CAE6A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 совместимость с действующим оборудованием</w:t>
            </w:r>
            <w:r w:rsidR="0028178E" w:rsidRPr="00777E08">
              <w:rPr>
                <w:bCs/>
                <w:sz w:val="26"/>
                <w:szCs w:val="26"/>
              </w:rPr>
              <w:t>.</w:t>
            </w:r>
          </w:p>
        </w:tc>
      </w:tr>
      <w:tr w:rsidR="009021B6" w:rsidRPr="00777E08" w14:paraId="53BC91F6" w14:textId="77777777" w:rsidTr="00C96D5A">
        <w:trPr>
          <w:trHeight w:val="356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</w:tcBorders>
            <w:vAlign w:val="center"/>
          </w:tcPr>
          <w:p w14:paraId="2FD5EF10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Требуемый срок </w:t>
            </w:r>
          </w:p>
          <w:p w14:paraId="3D410C82" w14:textId="55F1E019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поставки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</w:tcBorders>
            <w:vAlign w:val="center"/>
          </w:tcPr>
          <w:p w14:paraId="0389ACF3" w14:textId="606FA10D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кратчайший, с даты заключения договора</w:t>
            </w:r>
          </w:p>
        </w:tc>
      </w:tr>
      <w:tr w:rsidR="009021B6" w:rsidRPr="00777E08" w14:paraId="400D6F48" w14:textId="77777777" w:rsidTr="00C96D5A">
        <w:trPr>
          <w:trHeight w:val="704"/>
          <w:jc w:val="center"/>
        </w:trPr>
        <w:tc>
          <w:tcPr>
            <w:tcW w:w="2439" w:type="dxa"/>
            <w:gridSpan w:val="2"/>
            <w:vAlign w:val="center"/>
          </w:tcPr>
          <w:p w14:paraId="0438603D" w14:textId="3B2F01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Место, условия поставки</w:t>
            </w:r>
          </w:p>
        </w:tc>
        <w:tc>
          <w:tcPr>
            <w:tcW w:w="7484" w:type="dxa"/>
            <w:gridSpan w:val="3"/>
            <w:vAlign w:val="center"/>
          </w:tcPr>
          <w:p w14:paraId="01D0BDC9" w14:textId="16C0E4B9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для резидентов ТС ЕАЭС: франко-склад Покупателя (</w:t>
            </w:r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лот</w:t>
            </w:r>
            <w:r w:rsidR="00D30548"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№ 1 - </w:t>
            </w:r>
            <w:proofErr w:type="spellStart"/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Муляровский</w:t>
            </w:r>
            <w:proofErr w:type="spellEnd"/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с/с, Петриковский р-н, Гомельская обл., промышленная площадка Петриковского горно-обогатительного комбината ОАО «Беларуськалий», ремонтно-складская база; лот № 2</w:t>
            </w:r>
            <w:r w:rsid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20B71"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–</w:t>
            </w:r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20B71"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склад № 39, </w:t>
            </w:r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промышленная площадка 4 РУ) </w:t>
            </w:r>
            <w:r w:rsidRPr="00777E08">
              <w:rPr>
                <w:bCs/>
                <w:sz w:val="26"/>
                <w:szCs w:val="26"/>
              </w:rPr>
              <w:t xml:space="preserve">для </w:t>
            </w:r>
            <w:r w:rsidRPr="00777E08">
              <w:rPr>
                <w:bCs/>
                <w:sz w:val="26"/>
                <w:szCs w:val="26"/>
              </w:rPr>
              <w:lastRenderedPageBreak/>
              <w:t xml:space="preserve">нерезидентов ТС ЕАЭС: DAP Республика Беларусь, г. Солигорск (склад временного хранения ПЗ06641/0007839 </w:t>
            </w:r>
            <w:proofErr w:type="spellStart"/>
            <w:r w:rsidRPr="00777E08">
              <w:rPr>
                <w:bCs/>
                <w:sz w:val="26"/>
                <w:szCs w:val="26"/>
              </w:rPr>
              <w:t>пром</w:t>
            </w:r>
            <w:proofErr w:type="spellEnd"/>
            <w:r w:rsidRPr="00777E08">
              <w:rPr>
                <w:bCs/>
                <w:sz w:val="26"/>
                <w:szCs w:val="26"/>
              </w:rPr>
              <w:t>. площадка 4 РУ ОАО «Беларуськалий»)</w:t>
            </w:r>
          </w:p>
        </w:tc>
      </w:tr>
      <w:tr w:rsidR="009021B6" w:rsidRPr="00777E08" w14:paraId="46744454" w14:textId="77777777" w:rsidTr="00C96D5A">
        <w:trPr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14:paraId="5E72FDE4" w14:textId="1557F8AA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Обязательные для участия в процедуре условия оплаты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7C82F169" w14:textId="27E730E0" w:rsidR="009021B6" w:rsidRPr="00777E08" w:rsidRDefault="009021B6" w:rsidP="009021B6">
            <w:pPr>
              <w:pStyle w:val="af0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777E08">
              <w:rPr>
                <w:rFonts w:eastAsiaTheme="minorHAnsi"/>
                <w:bCs/>
                <w:sz w:val="26"/>
                <w:szCs w:val="26"/>
              </w:rPr>
              <w:t>предпочтительно оплата по факту поставки полного объема товара в течение не менее 45 календарных дней (для резидентов ТС ЕАЭС – с даты поставки на склад Покупателя; для нерезидентов ТС ЕАЭС – с даты выпуска для внутреннего потребления).</w:t>
            </w:r>
          </w:p>
        </w:tc>
      </w:tr>
      <w:tr w:rsidR="009021B6" w:rsidRPr="00777E08" w14:paraId="62546160" w14:textId="77777777" w:rsidTr="00C96D5A">
        <w:trPr>
          <w:trHeight w:val="712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14:paraId="1B422215" w14:textId="571F6A42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Гарантийный срок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49738EAF" w14:textId="14E35EBD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Лот № 1 - согласно требованиям тех. задания;</w:t>
            </w:r>
          </w:p>
          <w:p w14:paraId="532234E7" w14:textId="233AEA73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Лот № 2 – не менее 12 месяцев с даты поставки.</w:t>
            </w:r>
          </w:p>
        </w:tc>
      </w:tr>
      <w:tr w:rsidR="009021B6" w:rsidRPr="00777E08" w14:paraId="59C41598" w14:textId="77777777" w:rsidTr="00C96D5A">
        <w:trPr>
          <w:trHeight w:val="77"/>
          <w:jc w:val="center"/>
        </w:trPr>
        <w:tc>
          <w:tcPr>
            <w:tcW w:w="2439" w:type="dxa"/>
            <w:gridSpan w:val="2"/>
            <w:vAlign w:val="center"/>
          </w:tcPr>
          <w:p w14:paraId="5A288973" w14:textId="419DFE02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Источник финансирования закупки</w:t>
            </w:r>
          </w:p>
        </w:tc>
        <w:tc>
          <w:tcPr>
            <w:tcW w:w="7484" w:type="dxa"/>
            <w:gridSpan w:val="3"/>
            <w:vAlign w:val="center"/>
          </w:tcPr>
          <w:p w14:paraId="602DD7FE" w14:textId="08A2F9E2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собственные средства ОАО «Беларуськалий»</w:t>
            </w:r>
          </w:p>
        </w:tc>
      </w:tr>
      <w:tr w:rsidR="009021B6" w:rsidRPr="00777E08" w14:paraId="28072E52" w14:textId="77777777" w:rsidTr="00C96D5A">
        <w:trPr>
          <w:trHeight w:val="560"/>
          <w:jc w:val="center"/>
        </w:trPr>
        <w:tc>
          <w:tcPr>
            <w:tcW w:w="2439" w:type="dxa"/>
            <w:gridSpan w:val="2"/>
            <w:vAlign w:val="center"/>
          </w:tcPr>
          <w:p w14:paraId="7A2D7C44" w14:textId="58245599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Место и порядок представления ценового предложения</w:t>
            </w:r>
          </w:p>
        </w:tc>
        <w:tc>
          <w:tcPr>
            <w:tcW w:w="7484" w:type="dxa"/>
            <w:gridSpan w:val="3"/>
            <w:vAlign w:val="center"/>
          </w:tcPr>
          <w:p w14:paraId="3FF0656D" w14:textId="1DC812A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Ценовое предложение должно быть представлено с пометкой «Техническая/коммерческая часть ценового предложения на поставку фильтров рукавных»:</w:t>
            </w:r>
          </w:p>
          <w:p w14:paraId="5EBAE434" w14:textId="0510C8FA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  <w:lang w:val="en-US"/>
              </w:rPr>
            </w:pPr>
            <w:r w:rsidRPr="00777E08"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777E08">
              <w:rPr>
                <w:bCs/>
                <w:sz w:val="26"/>
                <w:szCs w:val="26"/>
              </w:rPr>
              <w:t>по</w:t>
            </w:r>
            <w:r w:rsidRPr="00777E08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777E08">
              <w:rPr>
                <w:bCs/>
                <w:sz w:val="26"/>
                <w:szCs w:val="26"/>
                <w:lang w:val="de-DE"/>
              </w:rPr>
              <w:t>e</w:t>
            </w:r>
            <w:r w:rsidRPr="00777E08">
              <w:rPr>
                <w:bCs/>
                <w:sz w:val="26"/>
                <w:szCs w:val="26"/>
                <w:lang w:val="en-US"/>
              </w:rPr>
              <w:t>-</w:t>
            </w:r>
            <w:r w:rsidRPr="00777E08">
              <w:rPr>
                <w:bCs/>
                <w:sz w:val="26"/>
                <w:szCs w:val="26"/>
                <w:lang w:val="de-DE"/>
              </w:rPr>
              <w:t>mail</w:t>
            </w:r>
            <w:r w:rsidRPr="00777E08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777E08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en-US"/>
                </w:rPr>
                <w:t>mto@</w:t>
              </w:r>
              <w:r w:rsidRPr="00777E08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de-DE"/>
                </w:rPr>
                <w:t>kali</w:t>
              </w:r>
              <w:r w:rsidRPr="00777E08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en-US"/>
                </w:rPr>
                <w:t>.</w:t>
              </w:r>
              <w:proofErr w:type="spellStart"/>
              <w:r w:rsidRPr="00777E08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de-DE"/>
                </w:rPr>
                <w:t>by</w:t>
              </w:r>
              <w:proofErr w:type="spellEnd"/>
            </w:hyperlink>
            <w:r w:rsidRPr="00777E08">
              <w:rPr>
                <w:rStyle w:val="a6"/>
                <w:bCs/>
                <w:color w:val="auto"/>
                <w:sz w:val="26"/>
                <w:szCs w:val="26"/>
                <w:u w:val="none"/>
                <w:lang w:val="en-US"/>
              </w:rPr>
              <w:t>;</w:t>
            </w:r>
          </w:p>
          <w:p w14:paraId="008FCF0F" w14:textId="02519715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 по почте по адресу: 223710, г. Солигорск, Минская обл., ул. Коржа, 5, 4-х этажный корпус, </w:t>
            </w:r>
            <w:proofErr w:type="spellStart"/>
            <w:r w:rsidRPr="00777E08">
              <w:rPr>
                <w:bCs/>
                <w:sz w:val="26"/>
                <w:szCs w:val="26"/>
              </w:rPr>
              <w:t>каб</w:t>
            </w:r>
            <w:proofErr w:type="spellEnd"/>
            <w:r w:rsidRPr="00777E08">
              <w:rPr>
                <w:bCs/>
                <w:sz w:val="26"/>
                <w:szCs w:val="26"/>
              </w:rPr>
              <w:t>. 304 (приемная УМТО)</w:t>
            </w:r>
          </w:p>
        </w:tc>
      </w:tr>
      <w:tr w:rsidR="009021B6" w:rsidRPr="00777E08" w14:paraId="06802FB4" w14:textId="77777777" w:rsidTr="00C96D5A">
        <w:trPr>
          <w:trHeight w:val="77"/>
          <w:jc w:val="center"/>
        </w:trPr>
        <w:tc>
          <w:tcPr>
            <w:tcW w:w="2439" w:type="dxa"/>
            <w:gridSpan w:val="2"/>
            <w:vAlign w:val="center"/>
          </w:tcPr>
          <w:p w14:paraId="1A60CF1A" w14:textId="4D638520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Срок подачи ценового предложения</w:t>
            </w:r>
          </w:p>
        </w:tc>
        <w:tc>
          <w:tcPr>
            <w:tcW w:w="7484" w:type="dxa"/>
            <w:gridSpan w:val="3"/>
            <w:vAlign w:val="center"/>
          </w:tcPr>
          <w:p w14:paraId="177E1312" w14:textId="63749233" w:rsidR="009021B6" w:rsidRPr="00777E08" w:rsidRDefault="009021B6" w:rsidP="009021B6">
            <w:pPr>
              <w:pStyle w:val="af0"/>
              <w:jc w:val="both"/>
              <w:rPr>
                <w:b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Окончательный срок представления предложений и документов к </w:t>
            </w:r>
            <w:r w:rsidRPr="00777E08">
              <w:rPr>
                <w:bCs/>
                <w:sz w:val="26"/>
                <w:szCs w:val="26"/>
                <w:lang w:val="en-US"/>
              </w:rPr>
              <w:t>I</w:t>
            </w:r>
            <w:r w:rsidRPr="00777E08">
              <w:rPr>
                <w:bCs/>
                <w:sz w:val="26"/>
                <w:szCs w:val="26"/>
              </w:rPr>
              <w:t xml:space="preserve"> этапу запроса ценовых предложений (техническая часть ценовых предложений): </w:t>
            </w:r>
            <w:proofErr w:type="gramStart"/>
            <w:r w:rsidRPr="00676FE0">
              <w:rPr>
                <w:b/>
                <w:strike/>
                <w:sz w:val="26"/>
                <w:szCs w:val="26"/>
              </w:rPr>
              <w:t xml:space="preserve">15:00  </w:t>
            </w:r>
            <w:r w:rsidR="00D5561D" w:rsidRPr="00676FE0">
              <w:rPr>
                <w:b/>
                <w:strike/>
                <w:sz w:val="26"/>
                <w:szCs w:val="26"/>
              </w:rPr>
              <w:t>28</w:t>
            </w:r>
            <w:r w:rsidRPr="00676FE0">
              <w:rPr>
                <w:b/>
                <w:strike/>
                <w:sz w:val="26"/>
                <w:szCs w:val="26"/>
              </w:rPr>
              <w:t>.04.2026.</w:t>
            </w:r>
            <w:proofErr w:type="gramEnd"/>
          </w:p>
          <w:p w14:paraId="0BF2CDA8" w14:textId="77777777" w:rsidR="00DF2A5F" w:rsidRPr="00777E08" w:rsidRDefault="004626AB" w:rsidP="00DF2A5F">
            <w:pPr>
              <w:pStyle w:val="af0"/>
              <w:jc w:val="both"/>
              <w:rPr>
                <w:b/>
                <w:sz w:val="26"/>
                <w:szCs w:val="26"/>
              </w:rPr>
            </w:pPr>
            <w:r w:rsidRPr="00777E08">
              <w:rPr>
                <w:b/>
                <w:sz w:val="26"/>
                <w:szCs w:val="26"/>
              </w:rPr>
              <w:t xml:space="preserve">Конверты с оригиналами технической части ценового предложения должны быть </w:t>
            </w:r>
            <w:r w:rsidR="00DF2A5F" w:rsidRPr="00777E08">
              <w:rPr>
                <w:b/>
                <w:sz w:val="26"/>
                <w:szCs w:val="26"/>
              </w:rPr>
              <w:t xml:space="preserve">направлены </w:t>
            </w:r>
            <w:r w:rsidRPr="00777E08">
              <w:rPr>
                <w:b/>
                <w:sz w:val="26"/>
                <w:szCs w:val="26"/>
              </w:rPr>
              <w:t xml:space="preserve">по почте по адресу: 223710, г. Солигорск, Минская обл., ул. Коржа, 5, 4-х этажный корпус, </w:t>
            </w:r>
            <w:proofErr w:type="spellStart"/>
            <w:r w:rsidRPr="00777E08">
              <w:rPr>
                <w:b/>
                <w:sz w:val="26"/>
                <w:szCs w:val="26"/>
              </w:rPr>
              <w:t>каб</w:t>
            </w:r>
            <w:proofErr w:type="spellEnd"/>
            <w:r w:rsidRPr="00777E08">
              <w:rPr>
                <w:b/>
                <w:sz w:val="26"/>
                <w:szCs w:val="26"/>
              </w:rPr>
              <w:t>. 304 (приемная УМТО) в течение 10 рабочих дней</w:t>
            </w:r>
            <w:r w:rsidR="00DF2A5F" w:rsidRPr="00777E08">
              <w:rPr>
                <w:b/>
                <w:sz w:val="26"/>
                <w:szCs w:val="26"/>
              </w:rPr>
              <w:t xml:space="preserve">. </w:t>
            </w:r>
          </w:p>
          <w:p w14:paraId="0EF5CB2D" w14:textId="000CF3D4" w:rsidR="009021B6" w:rsidRPr="00777E08" w:rsidRDefault="009021B6" w:rsidP="00DF2A5F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Предложения, поданные по истечении указанного срока, к рассмотрению не принимаются.</w:t>
            </w:r>
          </w:p>
        </w:tc>
      </w:tr>
      <w:tr w:rsidR="009021B6" w:rsidRPr="00777E08" w14:paraId="3612AC36" w14:textId="77777777" w:rsidTr="00C96D5A">
        <w:trPr>
          <w:trHeight w:val="77"/>
          <w:jc w:val="center"/>
        </w:trPr>
        <w:tc>
          <w:tcPr>
            <w:tcW w:w="9923" w:type="dxa"/>
            <w:gridSpan w:val="5"/>
            <w:vAlign w:val="center"/>
          </w:tcPr>
          <w:p w14:paraId="3688B849" w14:textId="77777777" w:rsidR="009021B6" w:rsidRPr="00777E08" w:rsidRDefault="009021B6" w:rsidP="009021B6">
            <w:pPr>
              <w:pStyle w:val="af0"/>
              <w:jc w:val="center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Условия проведения процедуры запроса ценовых предложений:</w:t>
            </w:r>
          </w:p>
        </w:tc>
      </w:tr>
      <w:tr w:rsidR="009021B6" w:rsidRPr="00777E08" w14:paraId="06379E10" w14:textId="77777777" w:rsidTr="00C96D5A">
        <w:trPr>
          <w:trHeight w:val="416"/>
          <w:jc w:val="center"/>
        </w:trPr>
        <w:tc>
          <w:tcPr>
            <w:tcW w:w="2439" w:type="dxa"/>
            <w:gridSpan w:val="2"/>
            <w:vAlign w:val="center"/>
          </w:tcPr>
          <w:p w14:paraId="05657421" w14:textId="3820B609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Первый этап</w:t>
            </w:r>
          </w:p>
        </w:tc>
        <w:tc>
          <w:tcPr>
            <w:tcW w:w="7484" w:type="dxa"/>
            <w:gridSpan w:val="3"/>
            <w:vAlign w:val="center"/>
          </w:tcPr>
          <w:p w14:paraId="2024C7AB" w14:textId="675F965C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запрос у потенциальных поставщиков технических предложений, содержащих техническое описание и объем поставки закупаемого товара, за исключением цены предложения;</w:t>
            </w:r>
          </w:p>
          <w:p w14:paraId="3E0CAF02" w14:textId="11C8CA96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рассмотрение технических предложений, проведение при необходимости переговоров (индивидуальных, совместных) с участниками по вопросам содержания их технических предложений;</w:t>
            </w:r>
          </w:p>
          <w:p w14:paraId="07A2A8EF" w14:textId="1BDFB2B4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определение участников, соответствующих требованиям запроса ценовых предложений.</w:t>
            </w:r>
          </w:p>
        </w:tc>
      </w:tr>
      <w:tr w:rsidR="009021B6" w:rsidRPr="00777E08" w14:paraId="7D19D9B2" w14:textId="77777777" w:rsidTr="00C96D5A">
        <w:trPr>
          <w:trHeight w:val="416"/>
          <w:jc w:val="center"/>
        </w:trPr>
        <w:tc>
          <w:tcPr>
            <w:tcW w:w="2439" w:type="dxa"/>
            <w:gridSpan w:val="2"/>
            <w:vAlign w:val="center"/>
          </w:tcPr>
          <w:p w14:paraId="1EB778FF" w14:textId="59F454DB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Второй этап</w:t>
            </w:r>
          </w:p>
          <w:p w14:paraId="7FA9966A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C6129" w14:textId="3711C772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внесение изменений и (или) дополнений в запрос ценовых предложений по результатам первого этапа указанного запроса ценовых предложений (при необходимости);</w:t>
            </w:r>
          </w:p>
          <w:p w14:paraId="18283717" w14:textId="3AACF42B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запрос коммерческой части ценовых предложений участников, прошедших его первый этап;</w:t>
            </w:r>
          </w:p>
          <w:p w14:paraId="59D634FC" w14:textId="1A4F6945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проведение переговоров о снижении цен поступивших ценовых предложений;</w:t>
            </w:r>
          </w:p>
          <w:p w14:paraId="09BB9A44" w14:textId="7E0E76D6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подведение итогов.</w:t>
            </w:r>
          </w:p>
        </w:tc>
      </w:tr>
      <w:tr w:rsidR="009021B6" w:rsidRPr="00777E08" w14:paraId="78A483D4" w14:textId="77777777" w:rsidTr="00C96D5A">
        <w:trPr>
          <w:trHeight w:val="701"/>
          <w:jc w:val="center"/>
        </w:trPr>
        <w:tc>
          <w:tcPr>
            <w:tcW w:w="2439" w:type="dxa"/>
            <w:gridSpan w:val="2"/>
            <w:vAlign w:val="center"/>
          </w:tcPr>
          <w:p w14:paraId="63C18E4D" w14:textId="0D682A61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Требования к участникам процедуры и их данным</w:t>
            </w:r>
          </w:p>
          <w:p w14:paraId="137D1DEE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2F71" w14:textId="77777777" w:rsidR="009021B6" w:rsidRPr="00777E08" w:rsidRDefault="009021B6" w:rsidP="009021B6">
            <w:pPr>
              <w:autoSpaceDE w:val="0"/>
              <w:autoSpaceDN w:val="0"/>
              <w:adjustRightInd w:val="0"/>
              <w:ind w:firstLine="464"/>
              <w:contextualSpacing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капитала.</w:t>
            </w:r>
          </w:p>
          <w:p w14:paraId="7D91C114" w14:textId="64E87759" w:rsidR="009021B6" w:rsidRPr="00777E08" w:rsidRDefault="009021B6" w:rsidP="009021B6">
            <w:pPr>
              <w:pStyle w:val="31"/>
              <w:ind w:firstLine="481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К участию в процедуре допускаются претенденты, не имеющие претензий по</w:t>
            </w:r>
            <w:r w:rsidR="00D5561D" w:rsidRPr="00777E08">
              <w:rPr>
                <w:bCs/>
                <w:szCs w:val="26"/>
              </w:rPr>
              <w:t xml:space="preserve"> предыдущим</w:t>
            </w:r>
            <w:r w:rsidRPr="00777E08">
              <w:rPr>
                <w:bCs/>
                <w:szCs w:val="26"/>
              </w:rPr>
              <w:t xml:space="preserve"> поставкам в адрес ОАО «Беларуськалий» (сведения о фактах отказов от заключения договоров, неисполнения и/или ненадлежащего исполнения заключенных договоров), и подтвердившие финансовую и экономическую состоятельность, технические возможности.</w:t>
            </w:r>
          </w:p>
          <w:p w14:paraId="3C7F8DBF" w14:textId="5D9378E5" w:rsidR="009021B6" w:rsidRPr="00777E08" w:rsidRDefault="009021B6" w:rsidP="009021B6">
            <w:pPr>
              <w:pStyle w:val="31"/>
              <w:ind w:firstLine="481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Участником не может быть организация:</w:t>
            </w:r>
          </w:p>
          <w:p w14:paraId="046D9B27" w14:textId="1E73F1DF" w:rsidR="009021B6" w:rsidRPr="00777E08" w:rsidRDefault="009021B6" w:rsidP="009021B6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7BE5D492" w14:textId="082AA954" w:rsidR="009021B6" w:rsidRPr="00777E08" w:rsidRDefault="009021B6" w:rsidP="009021B6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представившая недостоверную информацию о себе;</w:t>
            </w:r>
          </w:p>
          <w:p w14:paraId="3B18E817" w14:textId="67AEA95F" w:rsidR="009021B6" w:rsidRPr="00777E08" w:rsidRDefault="009021B6" w:rsidP="009021B6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</w:t>
            </w:r>
          </w:p>
          <w:p w14:paraId="458C885B" w14:textId="32A481A5" w:rsidR="009021B6" w:rsidRPr="00777E08" w:rsidRDefault="009021B6" w:rsidP="009021B6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не соответствующая требованиям заказчика к данным участников.</w:t>
            </w:r>
          </w:p>
          <w:p w14:paraId="5A2FD8FF" w14:textId="609293EA" w:rsidR="009021B6" w:rsidRPr="00777E08" w:rsidRDefault="009021B6" w:rsidP="009021B6">
            <w:pPr>
              <w:pStyle w:val="31"/>
              <w:ind w:firstLine="481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При выявлении такого участника на любом этапе процедуры закупки до заключения договора его предложение отклоняется.</w:t>
            </w:r>
          </w:p>
        </w:tc>
      </w:tr>
      <w:tr w:rsidR="009021B6" w:rsidRPr="00777E08" w14:paraId="160FB1C1" w14:textId="77777777" w:rsidTr="007D3A61">
        <w:trPr>
          <w:trHeight w:val="792"/>
          <w:jc w:val="center"/>
        </w:trPr>
        <w:tc>
          <w:tcPr>
            <w:tcW w:w="2439" w:type="dxa"/>
            <w:gridSpan w:val="2"/>
            <w:vAlign w:val="center"/>
          </w:tcPr>
          <w:p w14:paraId="5A624A02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Расчет цены </w:t>
            </w:r>
          </w:p>
          <w:p w14:paraId="07BE2172" w14:textId="702E9664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ценового предложения</w:t>
            </w:r>
          </w:p>
          <w:p w14:paraId="2415C96A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484" w:type="dxa"/>
            <w:gridSpan w:val="3"/>
            <w:tcBorders>
              <w:top w:val="single" w:sz="4" w:space="0" w:color="auto"/>
            </w:tcBorders>
            <w:vAlign w:val="center"/>
          </w:tcPr>
          <w:p w14:paraId="72DCA76B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       Цена (без НДС) определяется участником с указанием условий поставки (по Инкотермс-2020), а также с указанием на то, включены ли в цену кроме стоимости самих товаров расходы на тару, транспортировку, страхование, уплату таможенных пошлин, налогов, сборов и других обязательных платежей. </w:t>
            </w:r>
          </w:p>
        </w:tc>
      </w:tr>
      <w:tr w:rsidR="009021B6" w:rsidRPr="00777E08" w14:paraId="7295E1D5" w14:textId="77777777" w:rsidTr="00C96D5A">
        <w:trPr>
          <w:trHeight w:val="734"/>
          <w:jc w:val="center"/>
        </w:trPr>
        <w:tc>
          <w:tcPr>
            <w:tcW w:w="2439" w:type="dxa"/>
            <w:gridSpan w:val="2"/>
            <w:vAlign w:val="center"/>
          </w:tcPr>
          <w:p w14:paraId="7322F295" w14:textId="464C5B49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Наименование валюты ценового предложения</w:t>
            </w:r>
          </w:p>
        </w:tc>
        <w:tc>
          <w:tcPr>
            <w:tcW w:w="7484" w:type="dxa"/>
            <w:gridSpan w:val="3"/>
            <w:vAlign w:val="center"/>
          </w:tcPr>
          <w:p w14:paraId="1BA5D19A" w14:textId="2052EEE5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 для нерезидентов Республики Беларусь – валюта согласно законодательству страны участника процедуры,  </w:t>
            </w:r>
          </w:p>
          <w:p w14:paraId="1EC1242F" w14:textId="4366D2FE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для резидентов Республики Беларусь – белорусские рубли</w:t>
            </w:r>
          </w:p>
        </w:tc>
      </w:tr>
      <w:tr w:rsidR="009021B6" w:rsidRPr="00777E08" w14:paraId="66A52988" w14:textId="77777777" w:rsidTr="00C96D5A">
        <w:trPr>
          <w:trHeight w:val="734"/>
          <w:jc w:val="center"/>
        </w:trPr>
        <w:tc>
          <w:tcPr>
            <w:tcW w:w="2439" w:type="dxa"/>
            <w:gridSpan w:val="2"/>
            <w:vAlign w:val="center"/>
          </w:tcPr>
          <w:p w14:paraId="7B05A282" w14:textId="7A56DB2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Наименование валюты для оценки ценового предложения</w:t>
            </w:r>
          </w:p>
        </w:tc>
        <w:tc>
          <w:tcPr>
            <w:tcW w:w="7484" w:type="dxa"/>
            <w:gridSpan w:val="3"/>
            <w:vAlign w:val="center"/>
          </w:tcPr>
          <w:p w14:paraId="6C34FC7B" w14:textId="3AD93B1D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Для оценки и сравнения коммерческой части предложений, цены коммерческой части предложений участников (в случае их предоставления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исходя из ставки доходности</w:t>
            </w:r>
            <w:r w:rsidR="00D30548" w:rsidRPr="00777E08">
              <w:rPr>
                <w:bCs/>
                <w:sz w:val="26"/>
                <w:szCs w:val="26"/>
              </w:rPr>
              <w:t xml:space="preserve"> </w:t>
            </w:r>
            <w:r w:rsidRPr="00777E08">
              <w:rPr>
                <w:bCs/>
                <w:sz w:val="26"/>
                <w:szCs w:val="26"/>
              </w:rPr>
              <w:t>12 % на условиях расчетов простым банковским переводом.</w:t>
            </w:r>
          </w:p>
          <w:p w14:paraId="2238586E" w14:textId="36391C6E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9021B6" w:rsidRPr="00777E08" w14:paraId="56870925" w14:textId="77777777" w:rsidTr="00C96D5A">
        <w:trPr>
          <w:trHeight w:val="345"/>
          <w:jc w:val="center"/>
        </w:trPr>
        <w:tc>
          <w:tcPr>
            <w:tcW w:w="2439" w:type="dxa"/>
            <w:gridSpan w:val="2"/>
            <w:vAlign w:val="center"/>
          </w:tcPr>
          <w:p w14:paraId="693741BC" w14:textId="49899F62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Критерии для выбора наилучшего предложения</w:t>
            </w:r>
          </w:p>
        </w:tc>
        <w:tc>
          <w:tcPr>
            <w:tcW w:w="7484" w:type="dxa"/>
            <w:gridSpan w:val="3"/>
            <w:vAlign w:val="center"/>
          </w:tcPr>
          <w:p w14:paraId="3F9F1F78" w14:textId="2A8913F1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1. Наименьшая цена – 100 %.</w:t>
            </w:r>
          </w:p>
        </w:tc>
      </w:tr>
      <w:tr w:rsidR="009021B6" w:rsidRPr="00777E08" w14:paraId="2B07C77E" w14:textId="77777777" w:rsidTr="00C96D5A">
        <w:trPr>
          <w:trHeight w:val="345"/>
          <w:jc w:val="center"/>
        </w:trPr>
        <w:tc>
          <w:tcPr>
            <w:tcW w:w="2439" w:type="dxa"/>
            <w:gridSpan w:val="2"/>
            <w:vAlign w:val="center"/>
          </w:tcPr>
          <w:p w14:paraId="7A4D0E9A" w14:textId="3045C08C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sz w:val="26"/>
                <w:szCs w:val="26"/>
              </w:rPr>
              <w:lastRenderedPageBreak/>
              <w:t>Условия для оценки</w:t>
            </w:r>
          </w:p>
        </w:tc>
        <w:tc>
          <w:tcPr>
            <w:tcW w:w="7484" w:type="dxa"/>
            <w:gridSpan w:val="3"/>
            <w:vAlign w:val="center"/>
          </w:tcPr>
          <w:p w14:paraId="0984B91D" w14:textId="4D6A534A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1. Предложения, не соответствующие требованиям процедуры закупки (требованиям, предъявляемым к предмету закупки), исключаются из рассмотрения.</w:t>
            </w:r>
          </w:p>
          <w:p w14:paraId="24C7F965" w14:textId="4DEE97CB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2. Оценка по каждому лоту производится отдельно.</w:t>
            </w:r>
          </w:p>
          <w:p w14:paraId="79361670" w14:textId="2A6CD966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3. </w:t>
            </w:r>
            <w:r w:rsidRPr="00777E08">
              <w:rPr>
                <w:sz w:val="26"/>
                <w:szCs w:val="26"/>
              </w:rPr>
      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</w:tc>
      </w:tr>
      <w:tr w:rsidR="009021B6" w:rsidRPr="00777E08" w14:paraId="28974F2A" w14:textId="77777777" w:rsidTr="00C96D5A">
        <w:trPr>
          <w:trHeight w:val="428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14:paraId="1576C662" w14:textId="21AF2333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Обязательные условия договора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4ECE89A4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Цена на товар – в соответствии с окончательным акцептованным предложением участника. Цена на товар не подлежит изменению в сторону увеличения до окончания срока действия договора.</w:t>
            </w:r>
          </w:p>
          <w:p w14:paraId="41A50AB8" w14:textId="4BC08A48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Условия поставки товара – в соответствии с окончательным акцептованным предложением участника. </w:t>
            </w:r>
          </w:p>
          <w:p w14:paraId="1B00A437" w14:textId="0B12E19F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Срок поставки товара – в соответствии с окончательным акцептованным предложением участника. Для резидентов ТС ЕАЭС – датой поставки считается дата поставки товара на склад Покупателя, что подтверждается отметкой в сопроводительном документе. Для нерезидентов ТС ЕАЭС – датой поставки считается дата поступления товара на склад временного хранения (СВХ). За несвоевременную поставку товара Продавец уплачивает пеню в размере 0,1 % от стоимости не поставленного в срок товара за каждый день просрочки поставки.</w:t>
            </w:r>
          </w:p>
          <w:p w14:paraId="02A88A8E" w14:textId="0CC39DF6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Оплата за товар – в соответствии с окончательным акцептованным предложением участника, по факту поставки/выпуска товара для внутреннего потребления в течение не менее 45 календарных дней. Оплата за поставленный товар не производится в случае наличия на момент оплаты претензий к Продавцу по качеству и комплектности товара. Отсчет срока оплаты в данном случае производится от даты устранения претензий, указанной в двухстороннем акте устранения претензий по качеству и комплектности. </w:t>
            </w:r>
            <w:r w:rsidRPr="00777E08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Датой оплаты считается дата списания денежных средств с расчетного счета Покупателя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49A178D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Качество и комплектность поставляемого товара              должны соответствовать техническим условиям завода-изготовителя, </w:t>
            </w:r>
            <w:r w:rsidRPr="00777E08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техническим требованиям к предмету закупки.</w:t>
            </w:r>
          </w:p>
          <w:p w14:paraId="771A8B30" w14:textId="66A6781E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  <w:lang w:val="be-BY"/>
              </w:rPr>
              <w:t xml:space="preserve">Гарантийный срок на товар: </w:t>
            </w:r>
            <w:r w:rsidRPr="00777E08">
              <w:rPr>
                <w:bCs/>
                <w:sz w:val="26"/>
                <w:szCs w:val="26"/>
              </w:rPr>
              <w:t>лот № 1 - согласно требованиям тех. задания; лот № 2 – не менее 12 месяцев с даты поставки. Продавец письменно за 24 часа до отгрузки товара уведомляет об этом Покупателя по электронной почте.</w:t>
            </w:r>
          </w:p>
          <w:p w14:paraId="676FA3AD" w14:textId="0B2A4630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В период с 25 числа и по последнее число каждого месяца (включительно) склад Покупателя не осуществляет прием товара,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и Продавец должен организовать поставку таким образом, чтобы исключить ее доставку Покупателю в эти дни. Все убытки и риски, связанные с нарушением этого условия, несет Продавец. В случае если окончание срока поставки приходится на любой из дней с 25 числа по последний день месяца включительно последний день (дата) поставки переносится на ближайший рабочий день следующего месяца. При этом Продавец не считается просрочившим поставку.</w:t>
            </w:r>
          </w:p>
          <w:p w14:paraId="40E703AE" w14:textId="2CB4B50C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Приемка товара осуществляется на складе Покупателя. В случае обнаружения несоответствия товара по его количеству или качеству Покупатель извещает об этом Продавца. Подтверждением несоответствия товара по количеству или качеству является Акт, составленный с участием представителя Продавца. Но если в течение 3 рабочих дней с момента извещения представитель Продавца не прибывает или отказывается от подписания акта, то Покупатель имеет право составить акт без участия Продавца. Такой же порядок применяется и при обнаружении несоответствия товара по качеству в период действия гарантийного срока. </w:t>
            </w:r>
          </w:p>
          <w:p w14:paraId="79851043" w14:textId="62DB9356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Дефекты, обнаруженные при приемке и в течение гарантийного срока, устраняются Продавцом в течение 14 календарных дней от даты утверждения акта. В случае нарушения сроков, с Продавца взыскивается пеня в размере 0,1 % от стоимости несвоевременно поставленного товара за каждый день просрочки. Выплата пени не освобождает Продавца от дальнейшего исполнения обязательств по договору. </w:t>
            </w:r>
          </w:p>
          <w:p w14:paraId="1CB02DE6" w14:textId="3184C534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По настоящему договору/контракту Положение о приемке товаров по количеству и качеству, утвержденное постановлением Совета Министров Республики Беларусь от 03.09.2008 № 1290 не применяется. Применяется порядок, установленный настоящим договором/контрактом.</w:t>
            </w:r>
          </w:p>
          <w:p w14:paraId="00CDC352" w14:textId="7E0678FC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Если по причинам, не зависящим от Продавца, недостатки невозможно устранить в течение 14 календарных дней, то Продавец имеет право письменно согласовать с Покупателем срок, необходимый для их устранения.</w:t>
            </w:r>
          </w:p>
          <w:p w14:paraId="70CAC055" w14:textId="39369B24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Все расходы, связанные с допоставкой недостающего товара, возвратом или заменой товара, несоответствующего условиям договора, как на территории страны Продавца, так и на территории страны Покупателя, несет Продавец.</w:t>
            </w:r>
          </w:p>
          <w:p w14:paraId="2D4168C7" w14:textId="030A2A29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В случае если Покупатель понес какие-либо расходы (транспортные, таможенные и т.п.)  по возврату и/или замене дефектного Товара, в том числе в пределах гарантийного срока, то Продавец обязуется в течение 30 календарных дней с даты получения счета, возместить Покупателю вышеуказанные документально подтверждённые расходы в валюте контракта по курсу пересчета, указанному в счете Покупателя. В случае нарушения вышеуказанного срока Продавец выплачивает штраф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в размере 5 % от суммы предъявленного счета за каждый день просрочки.</w:t>
            </w:r>
          </w:p>
          <w:p w14:paraId="415D6EE3" w14:textId="763F45CF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Все уведомления и сообщения, отправленные Покупателем по электронной почте на </w:t>
            </w:r>
            <w:r w:rsidRPr="00777E0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mail</w:t>
            </w:r>
            <w:proofErr w:type="spellEnd"/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Продавца, признаются Сторонами официальным уведомлением для случаев, предусмотренных договором. Датой уведомления Продавца считается дата отправления факсимильного уведомления и/или электронного сообщения. Ответственность за получение сообщений и уведомлений вышеуказанными способами лежит на получающей Стороне.</w:t>
            </w:r>
          </w:p>
          <w:p w14:paraId="3873D714" w14:textId="5BEB0995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Товар должен быть новым (не бывшим в употреблении), не ранее 2026 года выпуска. В случае поставки товара с нарушением данного условия, Продавец выплачивает Покупателю штраф в размере 100 % стоимости товара, поставленного с нарушением данного условия.</w:t>
            </w:r>
          </w:p>
          <w:p w14:paraId="104C27C0" w14:textId="24526FB4" w:rsidR="00D5561D" w:rsidRPr="00777E08" w:rsidRDefault="009021B6" w:rsidP="00D5561D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 случае поставки товара, не производства заявленного</w:t>
            </w:r>
            <w:r w:rsidRPr="00777E08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 изготовителя, Покупатель имеет право в одностороннем порядке отказаться от исполнения договора и (или) взыскать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штраф в размере 25 % от стоимости товара, поставленного с нарушением данного условия.</w:t>
            </w:r>
          </w:p>
          <w:p w14:paraId="09940D0F" w14:textId="0FCF46F4" w:rsidR="00D5561D" w:rsidRPr="00777E08" w:rsidRDefault="00D5561D" w:rsidP="00D5561D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Вместе с товаром Поставщик передает Покупателю</w:t>
            </w:r>
            <w:r w:rsidRPr="00777E0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77E08">
              <w:rPr>
                <w:rFonts w:ascii="Times New Roman" w:hAnsi="Times New Roman"/>
                <w:sz w:val="26"/>
                <w:szCs w:val="26"/>
              </w:rPr>
              <w:t>следующую документацию:</w:t>
            </w:r>
          </w:p>
          <w:p w14:paraId="112F68B6" w14:textId="05D8DBA4" w:rsidR="003B6F42" w:rsidRPr="00777E08" w:rsidRDefault="003B6F42" w:rsidP="00D5561D">
            <w:pPr>
              <w:pStyle w:val="ab"/>
              <w:numPr>
                <w:ilvl w:val="0"/>
                <w:numId w:val="20"/>
              </w:numPr>
              <w:tabs>
                <w:tab w:val="left" w:pos="49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Товаросопроводительные документы;</w:t>
            </w:r>
          </w:p>
          <w:p w14:paraId="0CC01CB1" w14:textId="42F9BBE4" w:rsidR="00D5561D" w:rsidRPr="00777E08" w:rsidRDefault="00D5561D" w:rsidP="00D5561D">
            <w:pPr>
              <w:pStyle w:val="ab"/>
              <w:numPr>
                <w:ilvl w:val="0"/>
                <w:numId w:val="20"/>
              </w:numPr>
              <w:tabs>
                <w:tab w:val="left" w:pos="49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Оригинал сертификата (паспорта), выданного производителем</w:t>
            </w:r>
            <w:r w:rsidR="003B6F42"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товара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870DEF2" w14:textId="0B63453A" w:rsidR="00D5561D" w:rsidRPr="00777E08" w:rsidRDefault="00D5561D" w:rsidP="00D5561D">
            <w:pPr>
              <w:pStyle w:val="ab"/>
              <w:numPr>
                <w:ilvl w:val="0"/>
                <w:numId w:val="20"/>
              </w:numPr>
              <w:tabs>
                <w:tab w:val="left" w:pos="49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Заверенную копию декларации на товар (</w:t>
            </w:r>
            <w:r w:rsidR="003B6F42" w:rsidRPr="00777E08">
              <w:rPr>
                <w:rFonts w:ascii="Times New Roman" w:hAnsi="Times New Roman"/>
                <w:bCs/>
                <w:sz w:val="26"/>
                <w:szCs w:val="26"/>
              </w:rPr>
              <w:t>в случае производства товара вне территории ЕАЭС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  <w:p w14:paraId="5311BF82" w14:textId="282B3083" w:rsidR="003B6F42" w:rsidRPr="00777E08" w:rsidRDefault="003B6F42" w:rsidP="00D5561D">
            <w:pPr>
              <w:pStyle w:val="ab"/>
              <w:numPr>
                <w:ilvl w:val="0"/>
                <w:numId w:val="20"/>
              </w:numPr>
              <w:tabs>
                <w:tab w:val="left" w:pos="49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Иные документы в соответствии с договором/контрактом.</w:t>
            </w:r>
          </w:p>
          <w:p w14:paraId="7FBCB874" w14:textId="49071979" w:rsidR="00D5561D" w:rsidRPr="00777E08" w:rsidRDefault="00D5561D" w:rsidP="00D5561D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 случае несвоевременного предоставления документов согласно п.16 и/или предоставления неверно оформленных документов Покупатель имеет право принять продукцию на ответственное хранение и отсчитывать срок оплаты от даты предоставления полного комплекта верно оформленных документов. Датой представления недостающих и/или надлежаще оформленных документов является дата получения (регистрации) Покупателем сопроводительного письма Поставщика</w:t>
            </w:r>
            <w:r w:rsidR="00F56D7F"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вместе с приложением требуемых документов/исправления неверно оформленных документов. </w:t>
            </w:r>
          </w:p>
          <w:p w14:paraId="0C9EE8A1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Продавец несет ответственность за соответствие товара требованиям технических регламентов Таможенного Союза и возмещает Покупателю любые убытки, возникшие у Покупателя в связи с невыполнением Продавцом требований по сертификации товара.</w:t>
            </w:r>
          </w:p>
          <w:p w14:paraId="474F2508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Продавец обязан возместить Покупателю убытки, причиненные неисполнением или ненадлежащим исполнением обязательств по настоящему договору. Убытки взыскиваются в полной сумме сверх неустойки.</w:t>
            </w:r>
          </w:p>
          <w:p w14:paraId="424C74C1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За отказ от поставки, не поставку товара согласно договору, Продавец уплачивает Покупателю штраф в размере 10 % от стоимости не поставленного товара.</w:t>
            </w:r>
          </w:p>
          <w:p w14:paraId="0A27E995" w14:textId="02142564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 случае невыполнения или ненадлежащего выполнения Продавцом своих обязательств по настоящему договору, в том числе при нарушении срока поставки товара более чем на 30 календарных дней, Покупатель имеет право в одностороннем порядке отказаться от исполнения договора.</w:t>
            </w:r>
          </w:p>
          <w:p w14:paraId="3838A7F6" w14:textId="59B17DE1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 случае отказа от поставки, не поставки, нарушения сроков поставки товара Покупатель имеет право на приобретение такого же либо аналогичного товара у другого Продавца в количестве, необходимом для восполнения не поставленного, не поставленного в срок товара. Продавец обязуется возместить в полном объеме убытки, возникшие у Покупателя в связи с приобретением у другого Продавца товара, в том числе, разницу в цене между ценой не поставленного, не поставленного в срок товара и ценой взамен приобретенного товара. Указанные убытки должны быть возмещены Продавцом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Продавец уплачивает пеню в размере 0,</w:t>
            </w:r>
            <w:r w:rsidR="006D7CF4"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1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% от несвоевременно оплаченной суммы за каждый день просрочки.</w:t>
            </w:r>
          </w:p>
          <w:p w14:paraId="70904FFF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Стороны несут ответственность за внесение в договор недостоверных сведений в размере убытков, понесенных вследствие этого другой стороной. </w:t>
            </w:r>
          </w:p>
          <w:p w14:paraId="6B59DC5A" w14:textId="73F5833B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Ни одна из сторон не имеет права передавать свои права и обязанности по данному договору третьим лицам. Продавец обязуется не заключать договоры открытого факторинга. В случае заключения Продавцом договора открытого факторинга Продавец уплачивает штраф Покупателю в размере 25 % стоимости товара по договору.</w:t>
            </w:r>
          </w:p>
          <w:p w14:paraId="71674621" w14:textId="166782F4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Продавец, зарегистрированный в оффшорных зонах и/или при использовании для расчетов банковские счета, зарегистрированные в оффшорных зонах, в соответствии с Указом Президента Республики Беларусь от 25.05.2006 </w:t>
            </w:r>
            <w:r w:rsidR="00420B71"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  <w:r w:rsidR="00420B71"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353, обязан возместить Покупателю сумму оффшорного сбора</w:t>
            </w:r>
            <w:r w:rsidR="008917D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(15 % от суммы контракта).</w:t>
            </w:r>
          </w:p>
          <w:p w14:paraId="21FA4D50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Любой спор, разногласие или требование, возникшие из договора или касающиеся его, либо его нарушения, прекращения или недействительности, подлежат разрешению в экономическом суде Минской области. Язык судопроизводства – русский. Применимое право – материальное право Республики Беларусь.</w:t>
            </w:r>
          </w:p>
          <w:p w14:paraId="1A74AA24" w14:textId="77777777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Во всем, что не предусмотрено договором, стороны руководствуются действующим законодательством Республики Беларусь.</w:t>
            </w:r>
          </w:p>
          <w:p w14:paraId="6BE0C29F" w14:textId="67902362" w:rsidR="009021B6" w:rsidRPr="00777E08" w:rsidRDefault="009021B6" w:rsidP="009021B6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Стороны принимают во внимание, что Покупатель  имеет систему менеджмента качества, сертифицированную на 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соответствие требованиям     СТБ ISO 9001 и ISO 9001, систему управления окружающей средой, сертифицированную на соответствие требованиям ISO 14001 и СТБ  ISO 14001, систему менеджмента здоровья и безопасности при профессиональной деятельности, сертифицированную на соответствие требованиям СТБ ISO 45001 и своими действиями, направленными на выполнение  условий данного договора, не допустят нанесения урона друг другу в указанных сферах деятельности.</w:t>
            </w:r>
          </w:p>
        </w:tc>
      </w:tr>
      <w:tr w:rsidR="009021B6" w:rsidRPr="00777E08" w14:paraId="3785DC83" w14:textId="77777777" w:rsidTr="00C96D5A">
        <w:trPr>
          <w:trHeight w:val="428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14:paraId="48F04D3F" w14:textId="6A1EAD96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 xml:space="preserve">Требования к оформлению технической части ценового предложения, </w:t>
            </w:r>
          </w:p>
          <w:p w14:paraId="6186C1F6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</w:p>
          <w:p w14:paraId="0F691368" w14:textId="58847BD0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а также перечень документов и информация, которая должна быть представлена участниками в подтверждение своих данных</w:t>
            </w:r>
          </w:p>
          <w:p w14:paraId="14462F47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593BC152" w14:textId="0906091B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sz w:val="26"/>
                <w:szCs w:val="26"/>
              </w:rPr>
              <w:t>I. </w:t>
            </w:r>
            <w:r w:rsidRPr="00777E08">
              <w:rPr>
                <w:bCs/>
                <w:sz w:val="26"/>
                <w:szCs w:val="26"/>
              </w:rPr>
              <w:t>Техническая часть ценового предложения должна содержать:</w:t>
            </w:r>
          </w:p>
          <w:p w14:paraId="647453A8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1. Спецификацию предлагаемого товара с указанием:</w:t>
            </w:r>
          </w:p>
          <w:p w14:paraId="5DBA514F" w14:textId="6D60CA5E" w:rsidR="009021B6" w:rsidRPr="00777E08" w:rsidRDefault="009021B6" w:rsidP="009021B6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№ лота, полного наименования товара, его количества; </w:t>
            </w:r>
          </w:p>
          <w:p w14:paraId="4FCE3883" w14:textId="77777777" w:rsidR="009021B6" w:rsidRPr="00777E08" w:rsidRDefault="009021B6" w:rsidP="009021B6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наименования завода изготовителя и страны происхождения товара;</w:t>
            </w:r>
          </w:p>
          <w:p w14:paraId="355ADA40" w14:textId="77777777" w:rsidR="009021B6" w:rsidRPr="00777E08" w:rsidRDefault="009021B6" w:rsidP="009021B6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срока поставки;</w:t>
            </w:r>
          </w:p>
          <w:p w14:paraId="797388DC" w14:textId="77777777" w:rsidR="009021B6" w:rsidRPr="00777E08" w:rsidRDefault="009021B6" w:rsidP="009021B6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гарантийных обязательств на товар.</w:t>
            </w:r>
          </w:p>
          <w:p w14:paraId="6056684A" w14:textId="46947AE9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2. Подтверждение технических требований к предмету закупки,</w:t>
            </w:r>
            <w:r w:rsidR="00911DBE" w:rsidRPr="00777E08">
              <w:rPr>
                <w:bCs/>
                <w:sz w:val="26"/>
                <w:szCs w:val="26"/>
              </w:rPr>
              <w:t xml:space="preserve"> </w:t>
            </w:r>
            <w:r w:rsidR="00911DBE" w:rsidRPr="00777E08">
              <w:rPr>
                <w:sz w:val="26"/>
                <w:szCs w:val="26"/>
              </w:rPr>
              <w:t>ответы на все пункты технического задания,</w:t>
            </w:r>
            <w:r w:rsidRPr="00777E08">
              <w:rPr>
                <w:bCs/>
                <w:sz w:val="26"/>
                <w:szCs w:val="26"/>
              </w:rPr>
              <w:t xml:space="preserve"> </w:t>
            </w:r>
            <w:r w:rsidRPr="00777E08">
              <w:rPr>
                <w:sz w:val="26"/>
                <w:szCs w:val="26"/>
              </w:rPr>
              <w:t>технические характеристики предлагаемого к поставке товара, достоверность которых по требованию заказчика должна быть подтверждена</w:t>
            </w:r>
            <w:r w:rsidR="00911DBE" w:rsidRPr="00777E08">
              <w:rPr>
                <w:sz w:val="26"/>
                <w:szCs w:val="26"/>
              </w:rPr>
              <w:t xml:space="preserve">, </w:t>
            </w:r>
          </w:p>
          <w:p w14:paraId="0A78BC16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3. Заявление участника на участие в запросе ценовых предложений, в котором указывается:</w:t>
            </w:r>
          </w:p>
          <w:p w14:paraId="54D4427A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 полное наименование участника и его реквизиты: почтовый и юридический адреса, контактные телефоны, </w:t>
            </w:r>
            <w:proofErr w:type="spellStart"/>
            <w:r w:rsidRPr="00777E08">
              <w:rPr>
                <w:bCs/>
                <w:sz w:val="26"/>
                <w:szCs w:val="26"/>
              </w:rPr>
              <w:t>e-mail</w:t>
            </w:r>
            <w:proofErr w:type="spellEnd"/>
            <w:r w:rsidRPr="00777E08">
              <w:rPr>
                <w:bCs/>
                <w:sz w:val="26"/>
                <w:szCs w:val="26"/>
              </w:rPr>
              <w:t>, банковские реквизиты;</w:t>
            </w:r>
          </w:p>
          <w:p w14:paraId="6E071BC8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согласие на участие в процедуре закупки на условиях настоящих документов;</w:t>
            </w:r>
          </w:p>
          <w:p w14:paraId="21C1C337" w14:textId="3221A508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обязательство заключить договор</w:t>
            </w:r>
            <w:r w:rsidR="00911DBE" w:rsidRPr="00777E08">
              <w:rPr>
                <w:bCs/>
                <w:sz w:val="26"/>
                <w:szCs w:val="26"/>
              </w:rPr>
              <w:t xml:space="preserve"> с учетом обязательных условий договора, указанных в запросе ценовых предложений,</w:t>
            </w:r>
            <w:r w:rsidRPr="00777E08">
              <w:rPr>
                <w:bCs/>
                <w:sz w:val="26"/>
                <w:szCs w:val="26"/>
              </w:rPr>
              <w:t xml:space="preserve"> в течение 5 дней со дня направления договора, подписанного заказчиком;</w:t>
            </w:r>
          </w:p>
          <w:p w14:paraId="1BA11F43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4. В подтверждение экономического и финансового положения предоставляются заявления участника о том, что он:</w:t>
            </w:r>
          </w:p>
          <w:p w14:paraId="0F390038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18CA24A3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1DEC2ED9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выполнил все свои обязательства, связанные с уплатой           налогов и сборов в бюджет, согласно законодательству              государства, резидентом которого участник является;</w:t>
            </w:r>
          </w:p>
          <w:p w14:paraId="08CE0610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не включен в реестр поставщиков (подрядчиков, исполнителей), временно не допускаемых к закупкам.</w:t>
            </w:r>
          </w:p>
          <w:p w14:paraId="62CB555F" w14:textId="0589733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5. В подтверждение технических возможностей предоставляются следующие документы:</w:t>
            </w:r>
          </w:p>
          <w:p w14:paraId="1E885CB4" w14:textId="5275F9B4" w:rsidR="009021B6" w:rsidRPr="00777E08" w:rsidRDefault="009021B6" w:rsidP="009021B6">
            <w:pPr>
              <w:jc w:val="both"/>
              <w:rPr>
                <w:sz w:val="26"/>
                <w:szCs w:val="26"/>
                <w:lang w:eastAsia="en-US"/>
              </w:rPr>
            </w:pPr>
            <w:r w:rsidRPr="00777E08">
              <w:rPr>
                <w:sz w:val="26"/>
                <w:szCs w:val="26"/>
                <w:lang w:eastAsia="en-US"/>
              </w:rPr>
              <w:t xml:space="preserve">– для участника, являющегося производителем: </w:t>
            </w:r>
            <w:r w:rsidR="003B6F42" w:rsidRPr="00777E08">
              <w:rPr>
                <w:sz w:val="26"/>
                <w:szCs w:val="26"/>
                <w:lang w:eastAsia="en-US"/>
              </w:rPr>
              <w:t xml:space="preserve">заверенная </w:t>
            </w:r>
            <w:r w:rsidRPr="00777E08">
              <w:rPr>
                <w:sz w:val="26"/>
                <w:szCs w:val="26"/>
                <w:lang w:eastAsia="en-US"/>
              </w:rPr>
              <w:t xml:space="preserve">копия документа, подтверждающего, что участник является </w:t>
            </w:r>
            <w:r w:rsidRPr="00777E08">
              <w:rPr>
                <w:sz w:val="26"/>
                <w:szCs w:val="26"/>
                <w:lang w:eastAsia="en-US"/>
              </w:rPr>
              <w:lastRenderedPageBreak/>
              <w:t>производителем закупаемого товара (сертификат, паспорт, ТУ, иные документы);</w:t>
            </w:r>
          </w:p>
          <w:p w14:paraId="705924DA" w14:textId="606EAB85" w:rsidR="009021B6" w:rsidRPr="00777E08" w:rsidRDefault="009021B6" w:rsidP="009021B6">
            <w:pPr>
              <w:jc w:val="both"/>
              <w:rPr>
                <w:sz w:val="26"/>
                <w:szCs w:val="26"/>
                <w:lang w:eastAsia="en-US"/>
              </w:rPr>
            </w:pPr>
            <w:r w:rsidRPr="00777E08">
              <w:rPr>
                <w:sz w:val="26"/>
                <w:szCs w:val="26"/>
                <w:lang w:eastAsia="en-US"/>
              </w:rPr>
              <w:t>– для участника, не являющегося производителем: 1)</w:t>
            </w:r>
            <w:r w:rsidR="003B6F42" w:rsidRPr="00777E08">
              <w:rPr>
                <w:sz w:val="26"/>
                <w:szCs w:val="26"/>
                <w:lang w:eastAsia="en-US"/>
              </w:rPr>
              <w:t xml:space="preserve"> при наличии - </w:t>
            </w:r>
            <w:r w:rsidRPr="00777E08">
              <w:rPr>
                <w:sz w:val="26"/>
                <w:szCs w:val="26"/>
                <w:lang w:eastAsia="en-US"/>
              </w:rPr>
              <w:t xml:space="preserve"> </w:t>
            </w:r>
            <w:r w:rsidR="00911DBE" w:rsidRPr="00777E08">
              <w:rPr>
                <w:sz w:val="26"/>
                <w:szCs w:val="26"/>
                <w:lang w:eastAsia="en-US"/>
              </w:rPr>
              <w:t xml:space="preserve">заверенная </w:t>
            </w:r>
            <w:r w:rsidRPr="00777E08">
              <w:rPr>
                <w:sz w:val="26"/>
                <w:szCs w:val="26"/>
                <w:lang w:eastAsia="en-US"/>
              </w:rPr>
              <w:t xml:space="preserve">копия документа, подтверждающего, что участник является сбытовой организацией (официальным торговым представителем) производителя (договор (соглашение) с производителем/с гос. объединением, ассоциацией (союзом), в состав которых входят производители или устав/с управляющей компанией холдинга, участником которого является производитель); 2) </w:t>
            </w:r>
            <w:r w:rsidR="003B6F42" w:rsidRPr="00777E08">
              <w:rPr>
                <w:sz w:val="26"/>
                <w:szCs w:val="26"/>
                <w:lang w:eastAsia="en-US"/>
              </w:rPr>
              <w:t xml:space="preserve">заверенная </w:t>
            </w:r>
            <w:r w:rsidRPr="00777E08">
              <w:rPr>
                <w:sz w:val="26"/>
                <w:szCs w:val="26"/>
                <w:lang w:eastAsia="en-US"/>
              </w:rPr>
              <w:t>копия документа, подтверждающего, что предлагаемый к поставке товар производится данным производителем (сертификат</w:t>
            </w:r>
            <w:r w:rsidR="00911DBE" w:rsidRPr="00777E08">
              <w:rPr>
                <w:sz w:val="26"/>
                <w:szCs w:val="26"/>
                <w:lang w:eastAsia="en-US"/>
              </w:rPr>
              <w:t xml:space="preserve"> соответствия</w:t>
            </w:r>
            <w:r w:rsidRPr="00777E08">
              <w:rPr>
                <w:sz w:val="26"/>
                <w:szCs w:val="26"/>
                <w:lang w:eastAsia="en-US"/>
              </w:rPr>
              <w:t>, паспорт, ТУ, иные документы).</w:t>
            </w:r>
          </w:p>
          <w:p w14:paraId="63907282" w14:textId="374916B8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6. Для юридических лиц - резидентов РБ: копию свидетельства о государственной регистрации. Для юридических лиц - нерезидентов РБ: 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 (с переводом на русский язык).</w:t>
            </w:r>
          </w:p>
        </w:tc>
      </w:tr>
      <w:tr w:rsidR="009021B6" w:rsidRPr="00777E08" w14:paraId="2771AA2B" w14:textId="77777777" w:rsidTr="00C96D5A">
        <w:trPr>
          <w:trHeight w:val="272"/>
          <w:jc w:val="center"/>
        </w:trPr>
        <w:tc>
          <w:tcPr>
            <w:tcW w:w="2439" w:type="dxa"/>
            <w:gridSpan w:val="2"/>
            <w:vAlign w:val="center"/>
          </w:tcPr>
          <w:p w14:paraId="2ECBD5B1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</w:p>
          <w:p w14:paraId="594664E5" w14:textId="7D12EDC0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Требования к оформлению коммерческой части ценового предложения</w:t>
            </w:r>
          </w:p>
        </w:tc>
        <w:tc>
          <w:tcPr>
            <w:tcW w:w="7484" w:type="dxa"/>
            <w:gridSpan w:val="3"/>
            <w:vAlign w:val="center"/>
          </w:tcPr>
          <w:p w14:paraId="53F9D8D9" w14:textId="6B3C4DB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II. Коммерческая часть ценового предложения предоставляется участниками, прошедшими I этап и допущенными заказчиком ко II этапу. Дата и время представления коммерческого предложения сообщается заказчиком письменно всем участникам, прошедшим</w:t>
            </w:r>
            <w:r w:rsidR="00D57834" w:rsidRPr="00777E08">
              <w:rPr>
                <w:bCs/>
                <w:sz w:val="26"/>
                <w:szCs w:val="26"/>
              </w:rPr>
              <w:t xml:space="preserve"> </w:t>
            </w:r>
            <w:r w:rsidRPr="00777E08">
              <w:rPr>
                <w:bCs/>
                <w:sz w:val="26"/>
                <w:szCs w:val="26"/>
              </w:rPr>
              <w:t>I этап.</w:t>
            </w:r>
          </w:p>
          <w:p w14:paraId="79A392FF" w14:textId="1E3AE1EC" w:rsidR="009021B6" w:rsidRPr="00777E08" w:rsidRDefault="009021B6" w:rsidP="009021B6">
            <w:pPr>
              <w:pStyle w:val="af0"/>
              <w:ind w:firstLine="323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Срок подготовки и предоставления коммерческой части ценовых предложений определяется комиссией по итогам первого этапа.</w:t>
            </w:r>
          </w:p>
          <w:p w14:paraId="5392F239" w14:textId="655CB780" w:rsidR="009021B6" w:rsidRPr="00777E08" w:rsidRDefault="009021B6" w:rsidP="009021B6">
            <w:pPr>
              <w:pStyle w:val="af0"/>
              <w:ind w:firstLine="339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Коммерческая часть должна содержать:</w:t>
            </w:r>
          </w:p>
          <w:p w14:paraId="57A57B6F" w14:textId="3D0B2593" w:rsidR="009021B6" w:rsidRPr="00777E08" w:rsidRDefault="009021B6" w:rsidP="009021B6">
            <w:pPr>
              <w:pStyle w:val="31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- номер заявленного лота, наименование и количество товара (важно: представленное техническое предложение, пройдя этап технического заключения, на этапе предоставления коммерческого предложения, не должно изменяться в части обозначения и маркировки товара);</w:t>
            </w:r>
          </w:p>
          <w:p w14:paraId="7CB01E22" w14:textId="2F3922E6" w:rsidR="009021B6" w:rsidRPr="00777E08" w:rsidRDefault="009021B6" w:rsidP="009021B6">
            <w:pPr>
              <w:pStyle w:val="31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 xml:space="preserve">- цену за единицу товара и валюту, а также указание на то, включены ли в цену, кроме стоимости самих товаров, расходы на транспортировку, страхование, уплату таможенных пошлин, налогов, сборов и других обязательных платежей, иные расходы; </w:t>
            </w:r>
          </w:p>
          <w:p w14:paraId="0B80EB9A" w14:textId="12F95712" w:rsidR="009021B6" w:rsidRPr="00777E08" w:rsidRDefault="009021B6" w:rsidP="009021B6">
            <w:pPr>
              <w:pStyle w:val="af0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 условия оплаты;</w:t>
            </w:r>
          </w:p>
          <w:p w14:paraId="6BDB2020" w14:textId="02D24C80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условия поставки (франко-склад Покупателя);</w:t>
            </w:r>
          </w:p>
          <w:p w14:paraId="506C59C5" w14:textId="64070F89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сроки поставки;</w:t>
            </w:r>
          </w:p>
          <w:p w14:paraId="67BCB501" w14:textId="4AB6AB1E" w:rsidR="009021B6" w:rsidRPr="00777E08" w:rsidRDefault="009021B6" w:rsidP="009021B6">
            <w:pPr>
              <w:pStyle w:val="31"/>
              <w:rPr>
                <w:bCs/>
                <w:szCs w:val="26"/>
              </w:rPr>
            </w:pPr>
            <w:r w:rsidRPr="00777E08">
              <w:rPr>
                <w:bCs/>
                <w:szCs w:val="26"/>
              </w:rPr>
              <w:t>- гарантийный срок;</w:t>
            </w:r>
          </w:p>
          <w:p w14:paraId="20A3F464" w14:textId="2108D636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 срок действия ценового предложения (не менее 90 </w:t>
            </w:r>
            <w:r w:rsidRPr="00777E08">
              <w:rPr>
                <w:sz w:val="26"/>
                <w:szCs w:val="26"/>
              </w:rPr>
              <w:t>календарных</w:t>
            </w:r>
            <w:r w:rsidRPr="00777E08">
              <w:rPr>
                <w:bCs/>
                <w:sz w:val="26"/>
                <w:szCs w:val="26"/>
              </w:rPr>
              <w:t xml:space="preserve"> дней);</w:t>
            </w:r>
          </w:p>
          <w:p w14:paraId="7C997D87" w14:textId="7B6CC4D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</w:t>
            </w:r>
            <w:r w:rsidR="00D57834" w:rsidRPr="00777E08">
              <w:rPr>
                <w:bCs/>
                <w:sz w:val="26"/>
                <w:szCs w:val="26"/>
              </w:rPr>
              <w:t xml:space="preserve"> </w:t>
            </w:r>
            <w:r w:rsidRPr="00777E08">
              <w:rPr>
                <w:bCs/>
                <w:sz w:val="26"/>
                <w:szCs w:val="26"/>
              </w:rPr>
              <w:t>экономические расчеты уровня отпускных цен (тарифов)/уровень плановой рентабельности (наценки, надбавки) на предлагаемый товар.</w:t>
            </w:r>
          </w:p>
        </w:tc>
      </w:tr>
      <w:tr w:rsidR="009021B6" w:rsidRPr="00777E08" w14:paraId="2312B789" w14:textId="77777777" w:rsidTr="00C96D5A">
        <w:trPr>
          <w:trHeight w:val="272"/>
          <w:jc w:val="center"/>
        </w:trPr>
        <w:tc>
          <w:tcPr>
            <w:tcW w:w="2439" w:type="dxa"/>
            <w:gridSpan w:val="2"/>
            <w:vAlign w:val="center"/>
          </w:tcPr>
          <w:p w14:paraId="5E69AAEF" w14:textId="36CD4D15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Общие требования</w:t>
            </w:r>
          </w:p>
        </w:tc>
        <w:tc>
          <w:tcPr>
            <w:tcW w:w="7484" w:type="dxa"/>
            <w:gridSpan w:val="3"/>
            <w:vAlign w:val="center"/>
          </w:tcPr>
          <w:p w14:paraId="4D414935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     Документы предоставляются на русском языке (с переводом на русский язык).</w:t>
            </w:r>
          </w:p>
          <w:p w14:paraId="16CF755C" w14:textId="1243C74B" w:rsidR="009021B6" w:rsidRPr="00777E08" w:rsidRDefault="009021B6" w:rsidP="009021B6">
            <w:pPr>
              <w:pStyle w:val="af0"/>
              <w:ind w:firstLine="316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Техническое предложение и коммерческая часть должны быть отпечатаны или написаны несмываемыми чернилами и подписаны руководителем или иным должностным лицом юридического лица либо другим представителем юридического лица, уполномоченным в полной мере выступать от имени   участника при подписании договора.</w:t>
            </w:r>
          </w:p>
          <w:p w14:paraId="3EA85BAB" w14:textId="0978368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     Полномочия должностного лица (кроме руководителя), другого представителя юридического лица на участие в процедуре и на подписание договора от имени юридического лица должны подтверждаться доверенностью (иным документом), копия которого, заверенная руководителем и печатью юридического лица, прилагается к ценовому предложению. Ценовые предложения, подаваемые индивидуальным предпринимателем, должны быть подписаны самим индивидуальным предпринимателем. </w:t>
            </w:r>
          </w:p>
          <w:p w14:paraId="5BD18271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     В предложениях не должно быть никаких исправлений, внесенных между строчками. Исправления, внесенные поверх текста, или стертые (зачеркнутые, замазанные) участки текста будут считаться действительными только в том случае, если эти исправления заверены подписью лица (лиц), подписавшего ценовое предложение.</w:t>
            </w:r>
          </w:p>
          <w:p w14:paraId="4F2511DF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     Все вышеперечисленные требования в равной мере относятся и к документам, являющимся неотъемлемыми частями ценовых предложений (заявлению участника на участие в процедуре закупки, спецификации и др.).</w:t>
            </w:r>
          </w:p>
          <w:p w14:paraId="0F86024B" w14:textId="12913250" w:rsidR="009021B6" w:rsidRPr="00777E08" w:rsidRDefault="009021B6" w:rsidP="009021B6">
            <w:pPr>
              <w:pStyle w:val="af0"/>
              <w:ind w:firstLine="323"/>
              <w:rPr>
                <w:bCs/>
                <w:sz w:val="26"/>
                <w:szCs w:val="26"/>
              </w:rPr>
            </w:pPr>
            <w:r w:rsidRPr="00777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Входящие электронные письма, содержащие вложения в виде архивных файлов (с расширениями .ZIP, .RAR, .7z и т.п.), не принимаются. Все документы просьба направлять отдельными файлами.</w:t>
            </w:r>
          </w:p>
        </w:tc>
      </w:tr>
      <w:tr w:rsidR="009021B6" w:rsidRPr="00777E08" w14:paraId="24023694" w14:textId="77777777" w:rsidTr="00C96D5A">
        <w:trPr>
          <w:trHeight w:val="531"/>
          <w:jc w:val="center"/>
        </w:trPr>
        <w:tc>
          <w:tcPr>
            <w:tcW w:w="2439" w:type="dxa"/>
            <w:gridSpan w:val="2"/>
            <w:vAlign w:val="center"/>
          </w:tcPr>
          <w:p w14:paraId="2017D6C4" w14:textId="77777777" w:rsidR="009021B6" w:rsidRPr="00777E08" w:rsidRDefault="009021B6" w:rsidP="009021B6">
            <w:pPr>
              <w:pStyle w:val="af0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Иные сведения:</w:t>
            </w:r>
          </w:p>
        </w:tc>
        <w:tc>
          <w:tcPr>
            <w:tcW w:w="7484" w:type="dxa"/>
            <w:gridSpan w:val="3"/>
            <w:vAlign w:val="center"/>
          </w:tcPr>
          <w:p w14:paraId="4D96E86E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1. Заказчик может при необходимости обратиться за разъяснениями по представленным предложениям к участнику процедуры.</w:t>
            </w:r>
          </w:p>
          <w:p w14:paraId="502DED5C" w14:textId="0A9C6EFF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2. Комиссия Заказчика вправе признать победителем единственного участника процедуры закупки, в т.ч. в отношении каждого лота отдельно (в случае, если предложение подано только одним участником или в результате отклонения предложений осталось предложение только одного участника), если его предложение соответствует требованиям документации о закупке, и принять решение о заключении с ним соответствующего договора.</w:t>
            </w:r>
          </w:p>
          <w:p w14:paraId="3E51FAD5" w14:textId="02111B4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3. Оценка представленных данных претендентов на участие в процедуре запроса ценовых предложений, осуществляется отдельно от оценки предложений. Заказчик может оценивать представленные данные претендентов на любом этапе после истечения срока представления ценовых предложений.</w:t>
            </w:r>
          </w:p>
          <w:p w14:paraId="6A108F46" w14:textId="65502ECF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4. Заказчик вправе потребовать от претендента подтвердить свои представленные данные. Подтверждение представленных данных должно быть осуществлено до заключения договора </w:t>
            </w:r>
            <w:r w:rsidRPr="00777E08">
              <w:rPr>
                <w:bCs/>
                <w:sz w:val="26"/>
                <w:szCs w:val="26"/>
              </w:rPr>
              <w:lastRenderedPageBreak/>
              <w:t>путем предоставления соответствующих документов или сведений, запрошенных заказчиком.</w:t>
            </w:r>
          </w:p>
          <w:p w14:paraId="18555EBA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5. При выявлении участника, указанного в абзаце втором раздела «Требования к участникам процедуры и их данным», на любом этапе процедуры закупки до заключения договора его предложение отклоняется заказчиком.</w:t>
            </w:r>
          </w:p>
          <w:p w14:paraId="1E1FC76F" w14:textId="6F2774FE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6. Участники, соответствующие квалификационным требованиям первого этапа, допускаются ко второму этапу.</w:t>
            </w:r>
          </w:p>
          <w:p w14:paraId="3BCFBC58" w14:textId="3DCCAD7B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7. Заказчик вправе внести изменения в запрос ценовых предложений до истечения срока представления ценовых предложений.</w:t>
            </w:r>
          </w:p>
          <w:p w14:paraId="2B794327" w14:textId="2FA6E98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8. Заказчик вправе отменить процедуру закупки на любом этапе ее проведения, и не несет за это ответственности перед участниками процедуры закупки, по следующим основаниям:</w:t>
            </w:r>
          </w:p>
          <w:p w14:paraId="4D5C4E20" w14:textId="235ED8C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 отсутствие финансирования, </w:t>
            </w:r>
          </w:p>
          <w:p w14:paraId="692E06DA" w14:textId="3E21AB0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 утрата необходимости приобретения товаров, </w:t>
            </w:r>
          </w:p>
          <w:p w14:paraId="25C9C23F" w14:textId="3A1C79B4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- изменение предмета закупки и (или) требований к квалификационным данным участников процедуры закупки. </w:t>
            </w:r>
          </w:p>
          <w:p w14:paraId="1F7A143B" w14:textId="77777777" w:rsidR="009021B6" w:rsidRPr="00777E08" w:rsidRDefault="009021B6" w:rsidP="009021B6">
            <w:pPr>
              <w:pStyle w:val="af0"/>
              <w:ind w:firstLine="323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Все понесенные расходы, связанные с подготовкой предложений для участия в процедурах закупок, несут участники. </w:t>
            </w:r>
          </w:p>
          <w:p w14:paraId="51C0B300" w14:textId="67A72D22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9. Запрос ценовых предложений признается заказчиком несостоявшимся в случае, если:</w:t>
            </w:r>
          </w:p>
          <w:p w14:paraId="689FE688" w14:textId="44643560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не представлены предложения;</w:t>
            </w:r>
          </w:p>
          <w:p w14:paraId="595BDFF3" w14:textId="536089ED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отклонены все предложения до выбора наилучшего из них, в том числе как содержащие экономически невыгодные для заказчика условия;</w:t>
            </w:r>
          </w:p>
          <w:p w14:paraId="34AB4060" w14:textId="39983213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до заключения договора в ходе рассмотрения вопроса об обжаловании действий (бездействия) и решений заказчика, ценовой комиссии или ее членов руководителем заказчика или уполномоченным органом принято решение об отмене незаконного решения и прекращении запроса ценовых предложений.</w:t>
            </w:r>
          </w:p>
          <w:p w14:paraId="28D16736" w14:textId="3589E6BB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до заключения договора на закупку проверкой уполномоченных органов были выявлены нарушения в проведении запроса ценовых предложений и результаты проверки не обжалованы заказчиком в установленном порядке.</w:t>
            </w:r>
          </w:p>
          <w:p w14:paraId="04714F46" w14:textId="7E398EDD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10. Заказчик отклоняет предложение участника, если:</w:t>
            </w:r>
          </w:p>
          <w:p w14:paraId="09FADCF1" w14:textId="3A8777C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оно не отвечает требованиям запроса ценовых предложений;</w:t>
            </w:r>
          </w:p>
          <w:p w14:paraId="77FAB8FA" w14:textId="7A09F483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участник, представивший предложение, отказался исправить выявленные в нем ошибки или неточности либо продлить срок его действия по предложению заказчика;</w:t>
            </w:r>
          </w:p>
          <w:p w14:paraId="0F9FCC47" w14:textId="6AF637C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участник, представивший предложение, не может быть участником в соответствии с требованиями законодательства и настоящего запроса ценовых предложений;</w:t>
            </w:r>
          </w:p>
          <w:p w14:paraId="006C79CB" w14:textId="02C6C69B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участник, выбранный поставщиком, отказался подтвердить или не подтвердил свои данные.</w:t>
            </w:r>
          </w:p>
          <w:p w14:paraId="5C89047C" w14:textId="5CBD03C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11. После поступления коммерческой части ценовых предложений от участников, прошедших первый этап запроса ценовых предложений, комиссия:</w:t>
            </w:r>
          </w:p>
          <w:p w14:paraId="0F7DFB8B" w14:textId="64524B81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направляет участникам, прошедшим первый этап процедуры запроса ценовых предложений, уведомление о проведении переговоров о снижении цен поступивших ценовых предложений, содержащее сведения о наименьшей цене таких предложений без указания сведений об участнике, которым предложена эта цена, а также о дате, времени и месте проведения данных переговоров;</w:t>
            </w:r>
          </w:p>
          <w:p w14:paraId="6F27B10D" w14:textId="512BAF28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проводит переговоры в течение срока действия ценовых предложений в период между их рассмотрением и оценкой. В ходе переговоров участники вправе снижать цену своего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и т.д.). При этом участники вправе не направлять своих представителей для участия в переговорах, а сообщить о снижении цен своих ценовых предложений (улучшении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(электронный документ).</w:t>
            </w:r>
          </w:p>
          <w:p w14:paraId="60C02A58" w14:textId="6B64C232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12. Наилучшим будет признано предложение участника, представившего предложение с наименьшей ценой и соответствующее требованиям запроса ценовых предложений.</w:t>
            </w:r>
          </w:p>
          <w:p w14:paraId="7F24E722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13. После принятия решения о выборе поставщика (подрядчика, исполнителя) либо завершения процедуры запроса ценовых предложений с иным результатом заказчик не позднее дня, следующего за днем принятия решения о выборе поставщика (подрядчика, исполнителя), уведомляет об этом всех участников.</w:t>
            </w:r>
          </w:p>
          <w:p w14:paraId="63F9A39D" w14:textId="77777777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14. </w:t>
            </w:r>
            <w:r w:rsidRPr="00777E08">
              <w:rPr>
                <w:sz w:val="26"/>
                <w:szCs w:val="26"/>
              </w:rPr>
              <w:t xml:space="preserve">Договор заключается в течение срока действия коммерческого предложения, но не позднее чем в 5-дневный срок со дня направления договора выбранному поставщику, на условиях его окончательного ценового предложения и условий процедуры закупки. </w:t>
            </w:r>
            <w:r w:rsidRPr="00777E08">
              <w:rPr>
                <w:bCs/>
                <w:sz w:val="26"/>
                <w:szCs w:val="26"/>
              </w:rPr>
              <w:t xml:space="preserve">В случае непредоставления в указанные сроки заказчику подписанного договора выбранный поставщик признается не подписавшим договор. </w:t>
            </w:r>
          </w:p>
          <w:p w14:paraId="6EA0DDCF" w14:textId="63E0AF40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15. В случае если выбранный поставщик не подписал договор на закупку либо установлены определенные Порядком закупок обстоятельства, комиссия вправе:</w:t>
            </w:r>
          </w:p>
          <w:p w14:paraId="2C6A3407" w14:textId="77777777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выбрать поставщиком участника, предложение которого заняло второе место в процедуре закупки;</w:t>
            </w:r>
          </w:p>
          <w:p w14:paraId="015AC4B1" w14:textId="5C76037D" w:rsidR="009021B6" w:rsidRPr="00777E08" w:rsidRDefault="009021B6" w:rsidP="009021B6">
            <w:pPr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- повторно провести процедуру закупки.</w:t>
            </w:r>
          </w:p>
          <w:p w14:paraId="503B6F55" w14:textId="63894058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16. Во всем остальном, что не оговорено настоящим запросом ценовых предложений, следует руководствоваться действующим Порядком закупок ОАО «Беларуськалий».</w:t>
            </w:r>
          </w:p>
          <w:p w14:paraId="51F7A1AC" w14:textId="34B2316B" w:rsidR="009021B6" w:rsidRPr="00777E08" w:rsidRDefault="009021B6" w:rsidP="009021B6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17. Документация, с учетом технических приложений, изложена на 21 странице.</w:t>
            </w:r>
          </w:p>
        </w:tc>
      </w:tr>
      <w:tr w:rsidR="009021B6" w:rsidRPr="00777E08" w14:paraId="437A061E" w14:textId="77777777" w:rsidTr="00C96D5A">
        <w:trPr>
          <w:trHeight w:val="287"/>
          <w:jc w:val="center"/>
        </w:trPr>
        <w:tc>
          <w:tcPr>
            <w:tcW w:w="2439" w:type="dxa"/>
            <w:gridSpan w:val="2"/>
            <w:vAlign w:val="center"/>
          </w:tcPr>
          <w:p w14:paraId="0C2AEF3D" w14:textId="6C5D56D5" w:rsidR="009021B6" w:rsidRPr="00777E08" w:rsidRDefault="009021B6" w:rsidP="009021B6">
            <w:pPr>
              <w:pStyle w:val="a7"/>
              <w:jc w:val="both"/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lastRenderedPageBreak/>
              <w:t>Приложения:</w:t>
            </w:r>
          </w:p>
        </w:tc>
        <w:tc>
          <w:tcPr>
            <w:tcW w:w="7484" w:type="dxa"/>
            <w:gridSpan w:val="3"/>
            <w:vAlign w:val="center"/>
          </w:tcPr>
          <w:p w14:paraId="325E4E90" w14:textId="77777777" w:rsidR="009021B6" w:rsidRPr="00777E08" w:rsidRDefault="009021B6" w:rsidP="00C96D5A">
            <w:pPr>
              <w:pStyle w:val="ab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eastAsiaTheme="minorHAnsi" w:hAnsi="Times New Roman"/>
                <w:sz w:val="26"/>
                <w:szCs w:val="26"/>
              </w:rPr>
              <w:t xml:space="preserve">Тех. задание </w:t>
            </w:r>
            <w:r w:rsidRPr="00777E0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C96D5A" w:rsidRPr="00777E08">
              <w:rPr>
                <w:rFonts w:ascii="Times New Roman" w:hAnsi="Times New Roman"/>
                <w:sz w:val="26"/>
                <w:szCs w:val="26"/>
              </w:rPr>
              <w:t>37/01-18/1679</w:t>
            </w:r>
            <w:r w:rsidRPr="00777E08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C96D5A" w:rsidRPr="00777E08">
              <w:rPr>
                <w:rFonts w:ascii="Times New Roman" w:hAnsi="Times New Roman"/>
                <w:sz w:val="26"/>
                <w:szCs w:val="26"/>
              </w:rPr>
              <w:t>30</w:t>
            </w:r>
            <w:r w:rsidRPr="00777E08">
              <w:rPr>
                <w:rFonts w:ascii="Times New Roman" w:hAnsi="Times New Roman"/>
                <w:sz w:val="26"/>
                <w:szCs w:val="26"/>
              </w:rPr>
              <w:t>.</w:t>
            </w:r>
            <w:r w:rsidR="00C96D5A" w:rsidRPr="00777E08">
              <w:rPr>
                <w:rFonts w:ascii="Times New Roman" w:hAnsi="Times New Roman"/>
                <w:sz w:val="26"/>
                <w:szCs w:val="26"/>
              </w:rPr>
              <w:t>03</w:t>
            </w:r>
            <w:r w:rsidRPr="00777E08">
              <w:rPr>
                <w:rFonts w:ascii="Times New Roman" w:hAnsi="Times New Roman"/>
                <w:sz w:val="26"/>
                <w:szCs w:val="26"/>
              </w:rPr>
              <w:t>.202</w:t>
            </w:r>
            <w:r w:rsidR="00C96D5A" w:rsidRPr="00777E08">
              <w:rPr>
                <w:rFonts w:ascii="Times New Roman" w:hAnsi="Times New Roman"/>
                <w:sz w:val="26"/>
                <w:szCs w:val="26"/>
              </w:rPr>
              <w:t>6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(на </w:t>
            </w:r>
            <w:r w:rsidR="00C96D5A" w:rsidRPr="00777E0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стр.)</w:t>
            </w:r>
            <w:r w:rsidR="003A0829" w:rsidRPr="00777E0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6628BA25" w14:textId="7AA623E7" w:rsidR="003A0829" w:rsidRPr="00777E08" w:rsidRDefault="003A0829" w:rsidP="00C96D5A">
            <w:pPr>
              <w:pStyle w:val="ab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>Эскизы, фото (</w:t>
            </w:r>
            <w:r w:rsidR="00B577C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777E08">
              <w:rPr>
                <w:rFonts w:ascii="Times New Roman" w:hAnsi="Times New Roman"/>
                <w:bCs/>
                <w:sz w:val="26"/>
                <w:szCs w:val="26"/>
              </w:rPr>
              <w:t xml:space="preserve"> шт.).</w:t>
            </w:r>
          </w:p>
        </w:tc>
      </w:tr>
    </w:tbl>
    <w:p w14:paraId="176AB6EA" w14:textId="77777777" w:rsidR="004563D0" w:rsidRDefault="004563D0" w:rsidP="00AC534E">
      <w:pPr>
        <w:rPr>
          <w:iCs/>
          <w:sz w:val="26"/>
          <w:szCs w:val="26"/>
        </w:rPr>
      </w:pPr>
    </w:p>
    <w:p w14:paraId="09452EE0" w14:textId="77777777" w:rsidR="004563D0" w:rsidRDefault="004563D0" w:rsidP="00AC534E">
      <w:pPr>
        <w:rPr>
          <w:iCs/>
          <w:sz w:val="26"/>
          <w:szCs w:val="26"/>
        </w:rPr>
      </w:pPr>
    </w:p>
    <w:p w14:paraId="10E22251" w14:textId="4177831E" w:rsidR="00631CFC" w:rsidRPr="00777E08" w:rsidRDefault="00631CFC" w:rsidP="00236911">
      <w:pPr>
        <w:pStyle w:val="af0"/>
        <w:rPr>
          <w:bCs/>
          <w:sz w:val="26"/>
          <w:szCs w:val="26"/>
        </w:rPr>
      </w:pPr>
    </w:p>
    <w:sectPr w:rsidR="00631CFC" w:rsidRPr="00777E08" w:rsidSect="00C22D43">
      <w:headerReference w:type="default" r:id="rId9"/>
      <w:footerReference w:type="default" r:id="rId10"/>
      <w:pgSz w:w="11906" w:h="16838"/>
      <w:pgMar w:top="851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038F" w14:textId="77777777" w:rsidR="002264EB" w:rsidRDefault="002264EB" w:rsidP="005D2D59">
      <w:r>
        <w:separator/>
      </w:r>
    </w:p>
  </w:endnote>
  <w:endnote w:type="continuationSeparator" w:id="0">
    <w:p w14:paraId="5243B52F" w14:textId="77777777" w:rsidR="002264EB" w:rsidRDefault="002264EB" w:rsidP="005D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DFC3" w14:textId="6A16D98E" w:rsidR="00DA788C" w:rsidRDefault="00DA788C">
    <w:pPr>
      <w:pStyle w:val="a7"/>
      <w:jc w:val="right"/>
    </w:pPr>
  </w:p>
  <w:p w14:paraId="10A1F5C3" w14:textId="77777777" w:rsidR="00DA788C" w:rsidRDefault="00DA7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1D1F" w14:textId="77777777" w:rsidR="002264EB" w:rsidRDefault="002264EB" w:rsidP="005D2D59">
      <w:r>
        <w:separator/>
      </w:r>
    </w:p>
  </w:footnote>
  <w:footnote w:type="continuationSeparator" w:id="0">
    <w:p w14:paraId="222C40DB" w14:textId="77777777" w:rsidR="002264EB" w:rsidRDefault="002264EB" w:rsidP="005D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99331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6CB5A5F" w14:textId="43237AF7" w:rsidR="00C22D43" w:rsidRPr="00C22D43" w:rsidRDefault="00C22D43">
        <w:pPr>
          <w:pStyle w:val="ae"/>
          <w:jc w:val="center"/>
          <w:rPr>
            <w:sz w:val="18"/>
            <w:szCs w:val="18"/>
          </w:rPr>
        </w:pPr>
        <w:r w:rsidRPr="00C22D43">
          <w:rPr>
            <w:sz w:val="18"/>
            <w:szCs w:val="18"/>
          </w:rPr>
          <w:fldChar w:fldCharType="begin"/>
        </w:r>
        <w:r w:rsidRPr="00C22D43">
          <w:rPr>
            <w:sz w:val="18"/>
            <w:szCs w:val="18"/>
          </w:rPr>
          <w:instrText>PAGE   \* MERGEFORMAT</w:instrText>
        </w:r>
        <w:r w:rsidRPr="00C22D43">
          <w:rPr>
            <w:sz w:val="18"/>
            <w:szCs w:val="18"/>
          </w:rPr>
          <w:fldChar w:fldCharType="separate"/>
        </w:r>
        <w:r w:rsidRPr="00C22D43">
          <w:rPr>
            <w:sz w:val="18"/>
            <w:szCs w:val="18"/>
          </w:rPr>
          <w:t>2</w:t>
        </w:r>
        <w:r w:rsidRPr="00C22D43">
          <w:rPr>
            <w:sz w:val="18"/>
            <w:szCs w:val="18"/>
          </w:rPr>
          <w:fldChar w:fldCharType="end"/>
        </w:r>
      </w:p>
    </w:sdtContent>
  </w:sdt>
  <w:p w14:paraId="1BBFEC23" w14:textId="77777777" w:rsidR="00C22D43" w:rsidRDefault="00C22D4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0AB"/>
    <w:multiLevelType w:val="hybridMultilevel"/>
    <w:tmpl w:val="2B2E02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7FA"/>
    <w:multiLevelType w:val="hybridMultilevel"/>
    <w:tmpl w:val="A0B4A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7FC"/>
    <w:multiLevelType w:val="singleLevel"/>
    <w:tmpl w:val="D7FEB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2C4F06"/>
    <w:multiLevelType w:val="hybridMultilevel"/>
    <w:tmpl w:val="B1F0E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52E9"/>
    <w:multiLevelType w:val="hybridMultilevel"/>
    <w:tmpl w:val="F60CC8AA"/>
    <w:lvl w:ilvl="0" w:tplc="D7FEBA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8BB"/>
    <w:multiLevelType w:val="singleLevel"/>
    <w:tmpl w:val="B9E0561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6" w15:restartNumberingAfterBreak="0">
    <w:nsid w:val="44693607"/>
    <w:multiLevelType w:val="hybridMultilevel"/>
    <w:tmpl w:val="9C34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43C3"/>
    <w:multiLevelType w:val="hybridMultilevel"/>
    <w:tmpl w:val="88A4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671E2"/>
    <w:multiLevelType w:val="hybridMultilevel"/>
    <w:tmpl w:val="9AB2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F6DFA"/>
    <w:multiLevelType w:val="hybridMultilevel"/>
    <w:tmpl w:val="BFDC0104"/>
    <w:lvl w:ilvl="0" w:tplc="D7FEBA58">
      <w:start w:val="1"/>
      <w:numFmt w:val="bullet"/>
      <w:lvlText w:val="-"/>
      <w:lvlJc w:val="left"/>
      <w:pPr>
        <w:ind w:left="118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 w15:restartNumberingAfterBreak="0">
    <w:nsid w:val="506E5942"/>
    <w:multiLevelType w:val="hybridMultilevel"/>
    <w:tmpl w:val="FBD606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A74C2"/>
    <w:multiLevelType w:val="singleLevel"/>
    <w:tmpl w:val="D7FEB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1124E1"/>
    <w:multiLevelType w:val="hybridMultilevel"/>
    <w:tmpl w:val="0270C242"/>
    <w:lvl w:ilvl="0" w:tplc="51FA756A">
      <w:numFmt w:val="bullet"/>
      <w:lvlText w:val="•"/>
      <w:lvlJc w:val="left"/>
      <w:pPr>
        <w:ind w:left="8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 w15:restartNumberingAfterBreak="0">
    <w:nsid w:val="65AD60BE"/>
    <w:multiLevelType w:val="hybridMultilevel"/>
    <w:tmpl w:val="8EBE82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672B3158"/>
    <w:multiLevelType w:val="hybridMultilevel"/>
    <w:tmpl w:val="5322D3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3BD"/>
    <w:multiLevelType w:val="multilevel"/>
    <w:tmpl w:val="831AE988"/>
    <w:lvl w:ilvl="0">
      <w:start w:val="1"/>
      <w:numFmt w:val="decimal"/>
      <w:pStyle w:val="a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2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hint="default"/>
      </w:rPr>
    </w:lvl>
  </w:abstractNum>
  <w:abstractNum w:abstractNumId="16" w15:restartNumberingAfterBreak="0">
    <w:nsid w:val="748844F3"/>
    <w:multiLevelType w:val="hybridMultilevel"/>
    <w:tmpl w:val="279E51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D489C"/>
    <w:multiLevelType w:val="hybridMultilevel"/>
    <w:tmpl w:val="923ECA30"/>
    <w:lvl w:ilvl="0" w:tplc="D7FEBA58">
      <w:start w:val="1"/>
      <w:numFmt w:val="bullet"/>
      <w:lvlText w:val="-"/>
      <w:lvlJc w:val="left"/>
      <w:pPr>
        <w:ind w:left="12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8" w15:restartNumberingAfterBreak="0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8"/>
  </w:num>
  <w:num w:numId="5">
    <w:abstractNumId w:val="13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0"/>
  </w:num>
  <w:num w:numId="14">
    <w:abstractNumId w:val="1"/>
  </w:num>
  <w:num w:numId="15">
    <w:abstractNumId w:val="4"/>
  </w:num>
  <w:num w:numId="16">
    <w:abstractNumId w:val="17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51"/>
    <w:rsid w:val="00002ED8"/>
    <w:rsid w:val="00011C2F"/>
    <w:rsid w:val="0001240A"/>
    <w:rsid w:val="00016E2F"/>
    <w:rsid w:val="00016E52"/>
    <w:rsid w:val="000176E3"/>
    <w:rsid w:val="00021935"/>
    <w:rsid w:val="00025745"/>
    <w:rsid w:val="00042E6F"/>
    <w:rsid w:val="00046DDC"/>
    <w:rsid w:val="000505CE"/>
    <w:rsid w:val="00054D25"/>
    <w:rsid w:val="0005558E"/>
    <w:rsid w:val="00056E50"/>
    <w:rsid w:val="00060F3D"/>
    <w:rsid w:val="00066833"/>
    <w:rsid w:val="00073986"/>
    <w:rsid w:val="0007458A"/>
    <w:rsid w:val="00081123"/>
    <w:rsid w:val="00085D29"/>
    <w:rsid w:val="00085ED6"/>
    <w:rsid w:val="00093254"/>
    <w:rsid w:val="0009387F"/>
    <w:rsid w:val="00095D1F"/>
    <w:rsid w:val="00096BD1"/>
    <w:rsid w:val="000A13DC"/>
    <w:rsid w:val="000A5DE5"/>
    <w:rsid w:val="000A6639"/>
    <w:rsid w:val="000B09D0"/>
    <w:rsid w:val="000B21C9"/>
    <w:rsid w:val="000B464B"/>
    <w:rsid w:val="000B4C40"/>
    <w:rsid w:val="000B4DD6"/>
    <w:rsid w:val="000D220A"/>
    <w:rsid w:val="000D65AE"/>
    <w:rsid w:val="000D6A09"/>
    <w:rsid w:val="000E0060"/>
    <w:rsid w:val="000E0FA7"/>
    <w:rsid w:val="000E510E"/>
    <w:rsid w:val="000E6E47"/>
    <w:rsid w:val="000E78CC"/>
    <w:rsid w:val="000F25C2"/>
    <w:rsid w:val="000F2667"/>
    <w:rsid w:val="00101A12"/>
    <w:rsid w:val="001041F8"/>
    <w:rsid w:val="0011099B"/>
    <w:rsid w:val="001121F8"/>
    <w:rsid w:val="00127BA6"/>
    <w:rsid w:val="0013025F"/>
    <w:rsid w:val="0013654C"/>
    <w:rsid w:val="001419C3"/>
    <w:rsid w:val="001456C0"/>
    <w:rsid w:val="00151C0F"/>
    <w:rsid w:val="00153A06"/>
    <w:rsid w:val="00155C34"/>
    <w:rsid w:val="00161103"/>
    <w:rsid w:val="0016656B"/>
    <w:rsid w:val="00172B3B"/>
    <w:rsid w:val="00176094"/>
    <w:rsid w:val="001814D8"/>
    <w:rsid w:val="00181D5A"/>
    <w:rsid w:val="00186470"/>
    <w:rsid w:val="001A1F5E"/>
    <w:rsid w:val="001B124B"/>
    <w:rsid w:val="001B3EF9"/>
    <w:rsid w:val="001C28D4"/>
    <w:rsid w:val="001D2EC7"/>
    <w:rsid w:val="001D4D91"/>
    <w:rsid w:val="001D5FCC"/>
    <w:rsid w:val="001E2C74"/>
    <w:rsid w:val="001E40D8"/>
    <w:rsid w:val="001F1E83"/>
    <w:rsid w:val="001F28F6"/>
    <w:rsid w:val="001F3F68"/>
    <w:rsid w:val="001F4522"/>
    <w:rsid w:val="001F4653"/>
    <w:rsid w:val="002065CC"/>
    <w:rsid w:val="00211514"/>
    <w:rsid w:val="00223EAE"/>
    <w:rsid w:val="002240CC"/>
    <w:rsid w:val="0022505F"/>
    <w:rsid w:val="002264EB"/>
    <w:rsid w:val="002277FC"/>
    <w:rsid w:val="0023107C"/>
    <w:rsid w:val="0023121F"/>
    <w:rsid w:val="0023308D"/>
    <w:rsid w:val="002332BC"/>
    <w:rsid w:val="00233DCD"/>
    <w:rsid w:val="00236911"/>
    <w:rsid w:val="00236EB0"/>
    <w:rsid w:val="0024231C"/>
    <w:rsid w:val="00246638"/>
    <w:rsid w:val="00246709"/>
    <w:rsid w:val="00247120"/>
    <w:rsid w:val="002474BD"/>
    <w:rsid w:val="00250CBE"/>
    <w:rsid w:val="00252D0E"/>
    <w:rsid w:val="0025353A"/>
    <w:rsid w:val="00255765"/>
    <w:rsid w:val="002601CF"/>
    <w:rsid w:val="00260F35"/>
    <w:rsid w:val="00266373"/>
    <w:rsid w:val="0027597F"/>
    <w:rsid w:val="00277C01"/>
    <w:rsid w:val="0028178E"/>
    <w:rsid w:val="00283BC3"/>
    <w:rsid w:val="00293773"/>
    <w:rsid w:val="00296696"/>
    <w:rsid w:val="002973F2"/>
    <w:rsid w:val="002A1031"/>
    <w:rsid w:val="002A2610"/>
    <w:rsid w:val="002B1DE8"/>
    <w:rsid w:val="002B3CD4"/>
    <w:rsid w:val="002C0FE3"/>
    <w:rsid w:val="002C5B94"/>
    <w:rsid w:val="002C67C4"/>
    <w:rsid w:val="002D03A8"/>
    <w:rsid w:val="002D4C51"/>
    <w:rsid w:val="002D4E2B"/>
    <w:rsid w:val="002E339C"/>
    <w:rsid w:val="002E6450"/>
    <w:rsid w:val="002E6478"/>
    <w:rsid w:val="002E6C2E"/>
    <w:rsid w:val="002F4885"/>
    <w:rsid w:val="002F568B"/>
    <w:rsid w:val="002F5BF2"/>
    <w:rsid w:val="002F67EA"/>
    <w:rsid w:val="002F74AD"/>
    <w:rsid w:val="00306AA4"/>
    <w:rsid w:val="00316D59"/>
    <w:rsid w:val="003217DD"/>
    <w:rsid w:val="00322DB4"/>
    <w:rsid w:val="00324937"/>
    <w:rsid w:val="00324FD3"/>
    <w:rsid w:val="003315B5"/>
    <w:rsid w:val="00331AAC"/>
    <w:rsid w:val="003335C9"/>
    <w:rsid w:val="00340384"/>
    <w:rsid w:val="00351244"/>
    <w:rsid w:val="00353BF7"/>
    <w:rsid w:val="00361980"/>
    <w:rsid w:val="00361D20"/>
    <w:rsid w:val="003662B3"/>
    <w:rsid w:val="00372655"/>
    <w:rsid w:val="00372CA2"/>
    <w:rsid w:val="00376165"/>
    <w:rsid w:val="003803F6"/>
    <w:rsid w:val="00385D84"/>
    <w:rsid w:val="00387879"/>
    <w:rsid w:val="003924FA"/>
    <w:rsid w:val="00394C53"/>
    <w:rsid w:val="003A0829"/>
    <w:rsid w:val="003A11BD"/>
    <w:rsid w:val="003B278B"/>
    <w:rsid w:val="003B47FD"/>
    <w:rsid w:val="003B6F42"/>
    <w:rsid w:val="003C01DA"/>
    <w:rsid w:val="003C2FC9"/>
    <w:rsid w:val="003C5E8E"/>
    <w:rsid w:val="003C65FA"/>
    <w:rsid w:val="003C7AFA"/>
    <w:rsid w:val="003D210E"/>
    <w:rsid w:val="003D2353"/>
    <w:rsid w:val="003D28F1"/>
    <w:rsid w:val="003E0859"/>
    <w:rsid w:val="003E1613"/>
    <w:rsid w:val="003E2858"/>
    <w:rsid w:val="003E3FD0"/>
    <w:rsid w:val="003E5050"/>
    <w:rsid w:val="00411246"/>
    <w:rsid w:val="00414A4A"/>
    <w:rsid w:val="00420B71"/>
    <w:rsid w:val="00420EF8"/>
    <w:rsid w:val="00422AC2"/>
    <w:rsid w:val="004272FA"/>
    <w:rsid w:val="00433034"/>
    <w:rsid w:val="00440EEA"/>
    <w:rsid w:val="00441D7B"/>
    <w:rsid w:val="00445625"/>
    <w:rsid w:val="00447060"/>
    <w:rsid w:val="004563D0"/>
    <w:rsid w:val="00456AE1"/>
    <w:rsid w:val="004626AB"/>
    <w:rsid w:val="00466771"/>
    <w:rsid w:val="004751B3"/>
    <w:rsid w:val="00475760"/>
    <w:rsid w:val="00477AB7"/>
    <w:rsid w:val="00481801"/>
    <w:rsid w:val="00487C50"/>
    <w:rsid w:val="004970F2"/>
    <w:rsid w:val="004A1098"/>
    <w:rsid w:val="004B57A1"/>
    <w:rsid w:val="004C49D0"/>
    <w:rsid w:val="004D4C85"/>
    <w:rsid w:val="004D678B"/>
    <w:rsid w:val="004E0AE3"/>
    <w:rsid w:val="004E6D87"/>
    <w:rsid w:val="005053B5"/>
    <w:rsid w:val="00522799"/>
    <w:rsid w:val="005256C7"/>
    <w:rsid w:val="00536958"/>
    <w:rsid w:val="00541B42"/>
    <w:rsid w:val="005455B6"/>
    <w:rsid w:val="00546EAB"/>
    <w:rsid w:val="005504A3"/>
    <w:rsid w:val="00551E08"/>
    <w:rsid w:val="00555C27"/>
    <w:rsid w:val="0056499D"/>
    <w:rsid w:val="00570129"/>
    <w:rsid w:val="00574C16"/>
    <w:rsid w:val="00575653"/>
    <w:rsid w:val="00576426"/>
    <w:rsid w:val="00577C79"/>
    <w:rsid w:val="00581DC7"/>
    <w:rsid w:val="00586168"/>
    <w:rsid w:val="00586D90"/>
    <w:rsid w:val="0059156F"/>
    <w:rsid w:val="00592CA6"/>
    <w:rsid w:val="005A127E"/>
    <w:rsid w:val="005B17AD"/>
    <w:rsid w:val="005B497C"/>
    <w:rsid w:val="005B7E46"/>
    <w:rsid w:val="005C355F"/>
    <w:rsid w:val="005C427D"/>
    <w:rsid w:val="005D2D59"/>
    <w:rsid w:val="005D4C05"/>
    <w:rsid w:val="005D6617"/>
    <w:rsid w:val="005E0CA8"/>
    <w:rsid w:val="005F3CDA"/>
    <w:rsid w:val="00601B76"/>
    <w:rsid w:val="006063FD"/>
    <w:rsid w:val="00613309"/>
    <w:rsid w:val="0061702C"/>
    <w:rsid w:val="00620FC3"/>
    <w:rsid w:val="006223E6"/>
    <w:rsid w:val="0062436B"/>
    <w:rsid w:val="00631CFC"/>
    <w:rsid w:val="00637989"/>
    <w:rsid w:val="00637F98"/>
    <w:rsid w:val="006474C3"/>
    <w:rsid w:val="00656719"/>
    <w:rsid w:val="00662875"/>
    <w:rsid w:val="006633F6"/>
    <w:rsid w:val="00672418"/>
    <w:rsid w:val="00673024"/>
    <w:rsid w:val="00675242"/>
    <w:rsid w:val="00676AEB"/>
    <w:rsid w:val="00676FE0"/>
    <w:rsid w:val="00683ADE"/>
    <w:rsid w:val="00691094"/>
    <w:rsid w:val="00694294"/>
    <w:rsid w:val="00697DF2"/>
    <w:rsid w:val="006A174A"/>
    <w:rsid w:val="006A7580"/>
    <w:rsid w:val="006C6140"/>
    <w:rsid w:val="006D027C"/>
    <w:rsid w:val="006D03D1"/>
    <w:rsid w:val="006D3CC7"/>
    <w:rsid w:val="006D7451"/>
    <w:rsid w:val="006D7CF4"/>
    <w:rsid w:val="006E2466"/>
    <w:rsid w:val="006E32FD"/>
    <w:rsid w:val="006F6AEC"/>
    <w:rsid w:val="00701DB7"/>
    <w:rsid w:val="00706884"/>
    <w:rsid w:val="007129E0"/>
    <w:rsid w:val="00715294"/>
    <w:rsid w:val="007315EC"/>
    <w:rsid w:val="00732A1F"/>
    <w:rsid w:val="00734F70"/>
    <w:rsid w:val="0073569C"/>
    <w:rsid w:val="00737320"/>
    <w:rsid w:val="00741CA5"/>
    <w:rsid w:val="00755909"/>
    <w:rsid w:val="00761934"/>
    <w:rsid w:val="00762451"/>
    <w:rsid w:val="0076609F"/>
    <w:rsid w:val="007671EF"/>
    <w:rsid w:val="00771462"/>
    <w:rsid w:val="00774260"/>
    <w:rsid w:val="00777E08"/>
    <w:rsid w:val="007822AF"/>
    <w:rsid w:val="00783343"/>
    <w:rsid w:val="007945E8"/>
    <w:rsid w:val="0079516D"/>
    <w:rsid w:val="007A36F8"/>
    <w:rsid w:val="007B0EAD"/>
    <w:rsid w:val="007B167B"/>
    <w:rsid w:val="007B1F9D"/>
    <w:rsid w:val="007B7FBA"/>
    <w:rsid w:val="007C3774"/>
    <w:rsid w:val="007D091B"/>
    <w:rsid w:val="007D3A61"/>
    <w:rsid w:val="007E0114"/>
    <w:rsid w:val="007F209A"/>
    <w:rsid w:val="00811595"/>
    <w:rsid w:val="00815A0E"/>
    <w:rsid w:val="00826CE9"/>
    <w:rsid w:val="00827BFF"/>
    <w:rsid w:val="008337A9"/>
    <w:rsid w:val="00834051"/>
    <w:rsid w:val="008406C3"/>
    <w:rsid w:val="00840705"/>
    <w:rsid w:val="00840A0E"/>
    <w:rsid w:val="008421DF"/>
    <w:rsid w:val="00846FB2"/>
    <w:rsid w:val="00855A33"/>
    <w:rsid w:val="00856A32"/>
    <w:rsid w:val="00860A20"/>
    <w:rsid w:val="00865107"/>
    <w:rsid w:val="00867E9C"/>
    <w:rsid w:val="008735EC"/>
    <w:rsid w:val="00876112"/>
    <w:rsid w:val="008840B8"/>
    <w:rsid w:val="00885B45"/>
    <w:rsid w:val="008917D2"/>
    <w:rsid w:val="008A3231"/>
    <w:rsid w:val="008A4964"/>
    <w:rsid w:val="008B0237"/>
    <w:rsid w:val="008B3060"/>
    <w:rsid w:val="008B58A5"/>
    <w:rsid w:val="008B707D"/>
    <w:rsid w:val="008C1C9E"/>
    <w:rsid w:val="008C55BF"/>
    <w:rsid w:val="008D469F"/>
    <w:rsid w:val="008E4D81"/>
    <w:rsid w:val="008F2EDE"/>
    <w:rsid w:val="008F5B86"/>
    <w:rsid w:val="008F6583"/>
    <w:rsid w:val="008F6AA5"/>
    <w:rsid w:val="009021B6"/>
    <w:rsid w:val="00911DBE"/>
    <w:rsid w:val="00912940"/>
    <w:rsid w:val="00937E9D"/>
    <w:rsid w:val="009544E7"/>
    <w:rsid w:val="00954759"/>
    <w:rsid w:val="00956FB4"/>
    <w:rsid w:val="00964DEF"/>
    <w:rsid w:val="00967178"/>
    <w:rsid w:val="00967611"/>
    <w:rsid w:val="00971EBA"/>
    <w:rsid w:val="009750B7"/>
    <w:rsid w:val="0098703B"/>
    <w:rsid w:val="00987EF4"/>
    <w:rsid w:val="00993577"/>
    <w:rsid w:val="00996F93"/>
    <w:rsid w:val="009A63A4"/>
    <w:rsid w:val="009A7B87"/>
    <w:rsid w:val="009B13F8"/>
    <w:rsid w:val="009C0930"/>
    <w:rsid w:val="009C1D0C"/>
    <w:rsid w:val="009C71A5"/>
    <w:rsid w:val="009D14AE"/>
    <w:rsid w:val="009D20CF"/>
    <w:rsid w:val="009E080B"/>
    <w:rsid w:val="009E2311"/>
    <w:rsid w:val="009E6247"/>
    <w:rsid w:val="009E693A"/>
    <w:rsid w:val="009E7DB9"/>
    <w:rsid w:val="009F1D6F"/>
    <w:rsid w:val="009F4AC8"/>
    <w:rsid w:val="00A02EEA"/>
    <w:rsid w:val="00A05918"/>
    <w:rsid w:val="00A24D72"/>
    <w:rsid w:val="00A2581B"/>
    <w:rsid w:val="00A37F8B"/>
    <w:rsid w:val="00A45964"/>
    <w:rsid w:val="00A52B65"/>
    <w:rsid w:val="00A57F05"/>
    <w:rsid w:val="00A57FE2"/>
    <w:rsid w:val="00A61BFB"/>
    <w:rsid w:val="00A62209"/>
    <w:rsid w:val="00A630A1"/>
    <w:rsid w:val="00A6422B"/>
    <w:rsid w:val="00A64256"/>
    <w:rsid w:val="00A6551D"/>
    <w:rsid w:val="00A6602B"/>
    <w:rsid w:val="00A703FC"/>
    <w:rsid w:val="00A70ED7"/>
    <w:rsid w:val="00A71083"/>
    <w:rsid w:val="00A742A0"/>
    <w:rsid w:val="00A826E7"/>
    <w:rsid w:val="00A8351D"/>
    <w:rsid w:val="00A841B5"/>
    <w:rsid w:val="00A84260"/>
    <w:rsid w:val="00A96BC6"/>
    <w:rsid w:val="00A96D28"/>
    <w:rsid w:val="00A97DB7"/>
    <w:rsid w:val="00AA659F"/>
    <w:rsid w:val="00AB076C"/>
    <w:rsid w:val="00AB4366"/>
    <w:rsid w:val="00AC415E"/>
    <w:rsid w:val="00AC534E"/>
    <w:rsid w:val="00AC5FDD"/>
    <w:rsid w:val="00AC7274"/>
    <w:rsid w:val="00AC7350"/>
    <w:rsid w:val="00AD4650"/>
    <w:rsid w:val="00AD7872"/>
    <w:rsid w:val="00AE0AA2"/>
    <w:rsid w:val="00AE2362"/>
    <w:rsid w:val="00AF0034"/>
    <w:rsid w:val="00AF6FEA"/>
    <w:rsid w:val="00B04859"/>
    <w:rsid w:val="00B17704"/>
    <w:rsid w:val="00B26373"/>
    <w:rsid w:val="00B3271F"/>
    <w:rsid w:val="00B42CDE"/>
    <w:rsid w:val="00B54A5D"/>
    <w:rsid w:val="00B55480"/>
    <w:rsid w:val="00B577C7"/>
    <w:rsid w:val="00B609D1"/>
    <w:rsid w:val="00B64F8C"/>
    <w:rsid w:val="00B6618C"/>
    <w:rsid w:val="00B7037F"/>
    <w:rsid w:val="00B70969"/>
    <w:rsid w:val="00B7228A"/>
    <w:rsid w:val="00B82104"/>
    <w:rsid w:val="00B835EF"/>
    <w:rsid w:val="00B836BE"/>
    <w:rsid w:val="00B83F9A"/>
    <w:rsid w:val="00B915A9"/>
    <w:rsid w:val="00B9265C"/>
    <w:rsid w:val="00B941DD"/>
    <w:rsid w:val="00BA5473"/>
    <w:rsid w:val="00BB0D9D"/>
    <w:rsid w:val="00BB3E38"/>
    <w:rsid w:val="00BC1511"/>
    <w:rsid w:val="00BD3C80"/>
    <w:rsid w:val="00BD453D"/>
    <w:rsid w:val="00BD4CE8"/>
    <w:rsid w:val="00BE29DD"/>
    <w:rsid w:val="00BE4DD9"/>
    <w:rsid w:val="00C001E2"/>
    <w:rsid w:val="00C06C23"/>
    <w:rsid w:val="00C07EB9"/>
    <w:rsid w:val="00C11A76"/>
    <w:rsid w:val="00C129F5"/>
    <w:rsid w:val="00C13AA8"/>
    <w:rsid w:val="00C16C07"/>
    <w:rsid w:val="00C20940"/>
    <w:rsid w:val="00C213ED"/>
    <w:rsid w:val="00C22D43"/>
    <w:rsid w:val="00C3095E"/>
    <w:rsid w:val="00C31581"/>
    <w:rsid w:val="00C3218E"/>
    <w:rsid w:val="00C33461"/>
    <w:rsid w:val="00C4773E"/>
    <w:rsid w:val="00C566E9"/>
    <w:rsid w:val="00C5736E"/>
    <w:rsid w:val="00C61B72"/>
    <w:rsid w:val="00C628E2"/>
    <w:rsid w:val="00C63DC7"/>
    <w:rsid w:val="00C63EA3"/>
    <w:rsid w:val="00C71C2B"/>
    <w:rsid w:val="00C72067"/>
    <w:rsid w:val="00C8614C"/>
    <w:rsid w:val="00C93B18"/>
    <w:rsid w:val="00C96D5A"/>
    <w:rsid w:val="00CA73D0"/>
    <w:rsid w:val="00CB63B6"/>
    <w:rsid w:val="00CC04BF"/>
    <w:rsid w:val="00CC0FAF"/>
    <w:rsid w:val="00CC2286"/>
    <w:rsid w:val="00CC5504"/>
    <w:rsid w:val="00CC7B1D"/>
    <w:rsid w:val="00CD0BB9"/>
    <w:rsid w:val="00CD0E9A"/>
    <w:rsid w:val="00CD197B"/>
    <w:rsid w:val="00CD6160"/>
    <w:rsid w:val="00CE08AC"/>
    <w:rsid w:val="00CE201F"/>
    <w:rsid w:val="00CE4DFB"/>
    <w:rsid w:val="00CF0382"/>
    <w:rsid w:val="00CF196A"/>
    <w:rsid w:val="00CF490D"/>
    <w:rsid w:val="00CF53C1"/>
    <w:rsid w:val="00CF7441"/>
    <w:rsid w:val="00D0286A"/>
    <w:rsid w:val="00D05F65"/>
    <w:rsid w:val="00D16C7A"/>
    <w:rsid w:val="00D2386B"/>
    <w:rsid w:val="00D24182"/>
    <w:rsid w:val="00D30548"/>
    <w:rsid w:val="00D3667C"/>
    <w:rsid w:val="00D40E94"/>
    <w:rsid w:val="00D54D46"/>
    <w:rsid w:val="00D5561D"/>
    <w:rsid w:val="00D57834"/>
    <w:rsid w:val="00D57B70"/>
    <w:rsid w:val="00D645DD"/>
    <w:rsid w:val="00D664B3"/>
    <w:rsid w:val="00D6693F"/>
    <w:rsid w:val="00D716B9"/>
    <w:rsid w:val="00D7369E"/>
    <w:rsid w:val="00D737BE"/>
    <w:rsid w:val="00D74C65"/>
    <w:rsid w:val="00D752F8"/>
    <w:rsid w:val="00D75EE3"/>
    <w:rsid w:val="00D768D5"/>
    <w:rsid w:val="00D841F4"/>
    <w:rsid w:val="00D96ADF"/>
    <w:rsid w:val="00DA4E28"/>
    <w:rsid w:val="00DA788C"/>
    <w:rsid w:val="00DB0815"/>
    <w:rsid w:val="00DB4FB0"/>
    <w:rsid w:val="00DB5682"/>
    <w:rsid w:val="00DC5C72"/>
    <w:rsid w:val="00DC64A6"/>
    <w:rsid w:val="00DD0313"/>
    <w:rsid w:val="00DD300E"/>
    <w:rsid w:val="00DD37E0"/>
    <w:rsid w:val="00DD3BBF"/>
    <w:rsid w:val="00DD749D"/>
    <w:rsid w:val="00DD7AD5"/>
    <w:rsid w:val="00DE3DD5"/>
    <w:rsid w:val="00DF2A5F"/>
    <w:rsid w:val="00DF3FCD"/>
    <w:rsid w:val="00DF45F7"/>
    <w:rsid w:val="00E11200"/>
    <w:rsid w:val="00E149EF"/>
    <w:rsid w:val="00E157DE"/>
    <w:rsid w:val="00E15C3D"/>
    <w:rsid w:val="00E15E59"/>
    <w:rsid w:val="00E202F3"/>
    <w:rsid w:val="00E21C63"/>
    <w:rsid w:val="00E221AA"/>
    <w:rsid w:val="00E24309"/>
    <w:rsid w:val="00E243A4"/>
    <w:rsid w:val="00E24EDC"/>
    <w:rsid w:val="00E302FC"/>
    <w:rsid w:val="00E33C21"/>
    <w:rsid w:val="00E37E3F"/>
    <w:rsid w:val="00E40DA2"/>
    <w:rsid w:val="00E4752F"/>
    <w:rsid w:val="00E51408"/>
    <w:rsid w:val="00E53480"/>
    <w:rsid w:val="00E535AB"/>
    <w:rsid w:val="00E543C4"/>
    <w:rsid w:val="00E54BD9"/>
    <w:rsid w:val="00E55C1A"/>
    <w:rsid w:val="00E621B6"/>
    <w:rsid w:val="00E63681"/>
    <w:rsid w:val="00E659FF"/>
    <w:rsid w:val="00E67F2A"/>
    <w:rsid w:val="00E947B3"/>
    <w:rsid w:val="00E95312"/>
    <w:rsid w:val="00E97A0B"/>
    <w:rsid w:val="00EA10AB"/>
    <w:rsid w:val="00EA2F4D"/>
    <w:rsid w:val="00EA3E4A"/>
    <w:rsid w:val="00EC1CBC"/>
    <w:rsid w:val="00EC4A60"/>
    <w:rsid w:val="00EC7E4B"/>
    <w:rsid w:val="00ED0024"/>
    <w:rsid w:val="00ED09DE"/>
    <w:rsid w:val="00ED23E8"/>
    <w:rsid w:val="00ED3AF3"/>
    <w:rsid w:val="00ED6994"/>
    <w:rsid w:val="00EE2E34"/>
    <w:rsid w:val="00EF2013"/>
    <w:rsid w:val="00EF3D0E"/>
    <w:rsid w:val="00EF7A0E"/>
    <w:rsid w:val="00F375B3"/>
    <w:rsid w:val="00F375C9"/>
    <w:rsid w:val="00F521C5"/>
    <w:rsid w:val="00F54A6F"/>
    <w:rsid w:val="00F56D7F"/>
    <w:rsid w:val="00F570A3"/>
    <w:rsid w:val="00F570D6"/>
    <w:rsid w:val="00F61A7D"/>
    <w:rsid w:val="00F62F2E"/>
    <w:rsid w:val="00F63B9D"/>
    <w:rsid w:val="00F64BDC"/>
    <w:rsid w:val="00F64FD4"/>
    <w:rsid w:val="00F67093"/>
    <w:rsid w:val="00F67E87"/>
    <w:rsid w:val="00F7537A"/>
    <w:rsid w:val="00F766E2"/>
    <w:rsid w:val="00F77416"/>
    <w:rsid w:val="00F839D0"/>
    <w:rsid w:val="00FA00D7"/>
    <w:rsid w:val="00FA3BAB"/>
    <w:rsid w:val="00FA41DE"/>
    <w:rsid w:val="00FA6496"/>
    <w:rsid w:val="00FB1C74"/>
    <w:rsid w:val="00FB467E"/>
    <w:rsid w:val="00FC0F94"/>
    <w:rsid w:val="00FC4DF2"/>
    <w:rsid w:val="00FD25F8"/>
    <w:rsid w:val="00FD444A"/>
    <w:rsid w:val="00FD4AE0"/>
    <w:rsid w:val="00FD7E41"/>
    <w:rsid w:val="00FE4B9B"/>
    <w:rsid w:val="00FE4BB5"/>
    <w:rsid w:val="00FF6C2B"/>
    <w:rsid w:val="00FF726A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090"/>
  <w15:docId w15:val="{0665A540-971E-4721-9773-FACFBDE0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C4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6D7451"/>
    <w:pPr>
      <w:keepNext/>
      <w:outlineLvl w:val="2"/>
    </w:pPr>
    <w:rPr>
      <w:b/>
      <w:i/>
      <w:sz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6D74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qFormat/>
    <w:rsid w:val="006D7451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D7451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D74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7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6D7451"/>
    <w:pPr>
      <w:jc w:val="both"/>
    </w:pPr>
    <w:rPr>
      <w:sz w:val="26"/>
    </w:rPr>
  </w:style>
  <w:style w:type="character" w:customStyle="1" w:styleId="32">
    <w:name w:val="Основной текст 3 Знак"/>
    <w:basedOn w:val="a1"/>
    <w:link w:val="31"/>
    <w:rsid w:val="006D74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ody Text Indent"/>
    <w:basedOn w:val="a0"/>
    <w:link w:val="a5"/>
    <w:rsid w:val="006D7451"/>
    <w:pPr>
      <w:ind w:left="5040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6D74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6D7451"/>
    <w:rPr>
      <w:color w:val="0000FF"/>
      <w:u w:val="single"/>
    </w:rPr>
  </w:style>
  <w:style w:type="paragraph" w:styleId="a7">
    <w:name w:val="footer"/>
    <w:basedOn w:val="a0"/>
    <w:link w:val="a8"/>
    <w:rsid w:val="006D7451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a1"/>
    <w:link w:val="a7"/>
    <w:rsid w:val="006D745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6D745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6D7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6D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3924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924F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5D2D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D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8F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766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F76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C4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">
    <w:name w:val="Нумерация"/>
    <w:basedOn w:val="a4"/>
    <w:link w:val="af1"/>
    <w:rsid w:val="00EA3E4A"/>
    <w:pPr>
      <w:numPr>
        <w:numId w:val="7"/>
      </w:numPr>
      <w:tabs>
        <w:tab w:val="left" w:pos="491"/>
      </w:tabs>
      <w:jc w:val="both"/>
    </w:pPr>
    <w:rPr>
      <w:sz w:val="24"/>
    </w:rPr>
  </w:style>
  <w:style w:type="character" w:customStyle="1" w:styleId="af1">
    <w:name w:val="Нумерация Знак"/>
    <w:link w:val="a"/>
    <w:rsid w:val="00EA3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1"/>
    <w:uiPriority w:val="99"/>
    <w:semiHidden/>
    <w:unhideWhenUsed/>
    <w:rsid w:val="00912940"/>
    <w:rPr>
      <w:color w:val="605E5C"/>
      <w:shd w:val="clear" w:color="auto" w:fill="E1DFDD"/>
    </w:rPr>
  </w:style>
  <w:style w:type="paragraph" w:customStyle="1" w:styleId="Default">
    <w:name w:val="Default"/>
    <w:rsid w:val="00253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D5561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556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@kal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7F4B-FC5C-48A1-AA83-EB418D68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Удалить</dc:creator>
  <cp:lastModifiedBy>Юшкевич Анастасия Юрьевна</cp:lastModifiedBy>
  <cp:revision>9</cp:revision>
  <cp:lastPrinted>2026-04-15T07:10:00Z</cp:lastPrinted>
  <dcterms:created xsi:type="dcterms:W3CDTF">2026-04-15T07:07:00Z</dcterms:created>
  <dcterms:modified xsi:type="dcterms:W3CDTF">2026-04-28T05:09:00Z</dcterms:modified>
</cp:coreProperties>
</file>